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58" w:rsidRPr="00C56F55" w:rsidRDefault="00CE7158" w:rsidP="00CE7158">
      <w:pPr>
        <w:spacing w:after="0"/>
        <w:jc w:val="center"/>
        <w:rPr>
          <w:sz w:val="32"/>
        </w:rPr>
      </w:pPr>
      <w:r w:rsidRPr="00C56F55">
        <w:rPr>
          <w:sz w:val="32"/>
        </w:rPr>
        <w:t>Rettevejledning til modul B</w:t>
      </w:r>
    </w:p>
    <w:p w:rsidR="00CE7158" w:rsidRPr="00C56F55" w:rsidRDefault="00CE7158" w:rsidP="00CE7158">
      <w:pPr>
        <w:spacing w:after="0"/>
        <w:jc w:val="center"/>
        <w:rPr>
          <w:b/>
          <w:sz w:val="20"/>
          <w:szCs w:val="28"/>
        </w:rPr>
      </w:pPr>
    </w:p>
    <w:p w:rsidR="00CE7158" w:rsidRPr="00C56F55" w:rsidRDefault="00CE7158" w:rsidP="00CE7158">
      <w:pPr>
        <w:spacing w:after="0"/>
        <w:rPr>
          <w:b/>
          <w:sz w:val="28"/>
          <w:szCs w:val="28"/>
        </w:rPr>
      </w:pPr>
      <w:r w:rsidRPr="00C56F55">
        <w:rPr>
          <w:b/>
          <w:sz w:val="28"/>
          <w:szCs w:val="28"/>
        </w:rPr>
        <w:t>Indledende bemærkninger</w:t>
      </w:r>
    </w:p>
    <w:p w:rsidR="00CE7158" w:rsidRPr="00C56F55" w:rsidRDefault="00CE7158" w:rsidP="00CE7158">
      <w:pPr>
        <w:spacing w:after="0"/>
        <w:rPr>
          <w:b/>
          <w:sz w:val="28"/>
          <w:szCs w:val="28"/>
        </w:rPr>
      </w:pPr>
    </w:p>
    <w:p w:rsidR="00CE7158" w:rsidRPr="00C56F55" w:rsidRDefault="00CE7158" w:rsidP="00CE7158">
      <w:pPr>
        <w:spacing w:after="0"/>
      </w:pPr>
      <w:r w:rsidRPr="00C56F55">
        <w:t>Denne rettevejledning er udarbejdet som hjælp til de censorer, der retter besvarelser til revisoreksamen 2018 og til støtte for nuværende og kommende kandidater, som ønsker en vejledning til, hvilke emner der burde/kunne være omtalt i besvarelsen.</w:t>
      </w:r>
    </w:p>
    <w:p w:rsidR="00CE7158" w:rsidRPr="00C56F55" w:rsidRDefault="00CE7158" w:rsidP="00CE7158">
      <w:pPr>
        <w:spacing w:after="0"/>
      </w:pPr>
    </w:p>
    <w:p w:rsidR="00CE7158" w:rsidRPr="00C56F55" w:rsidRDefault="00CE7158" w:rsidP="00CE7158">
      <w:pPr>
        <w:spacing w:after="0"/>
      </w:pPr>
      <w:r w:rsidRPr="00C56F55">
        <w:t>Rettevejledningen angiver i skemaform en række forhold, som censorerne (eksaminator og censor) kan benytte som en form for tjekliste til gennemgang af den enkelte besvarelse. Til hvert spørgsmål er der angivet en række punkter, som besvarelsen bør/kan omfatte, opdelt inden for 12 – skalaen.</w:t>
      </w:r>
    </w:p>
    <w:p w:rsidR="00CE7158" w:rsidRPr="00C56F55" w:rsidRDefault="00CE7158" w:rsidP="00CE7158">
      <w:pPr>
        <w:spacing w:after="0"/>
      </w:pPr>
    </w:p>
    <w:p w:rsidR="00CE7158" w:rsidRPr="00C56F55" w:rsidRDefault="00CE7158" w:rsidP="00CE7158">
      <w:pPr>
        <w:spacing w:after="0"/>
      </w:pPr>
      <w:r w:rsidRPr="00C56F55">
        <w:t>Kandidatens konkrete besvarelse og de forudsætninger, som kandidaten redegør for i sin besvarelse, har også betydning, og det er derfor ikke muligt eller hensigtsmæssigt at anvende denne rettevejledning som et rent matematisk hjælpemiddel til at afgøre, om en kandidat er bestået eller ej. Klarheden og formuleringerne har også betydning for nytteværdien, og skal derfor også indgå i bedømmelsen.</w:t>
      </w:r>
    </w:p>
    <w:p w:rsidR="00CE7158" w:rsidRPr="00C56F55" w:rsidRDefault="00CE7158" w:rsidP="00CE7158">
      <w:pPr>
        <w:spacing w:after="0"/>
      </w:pPr>
    </w:p>
    <w:p w:rsidR="00CE7158" w:rsidRPr="00C56F55" w:rsidRDefault="00CE7158" w:rsidP="00CE7158">
      <w:pPr>
        <w:spacing w:after="0"/>
      </w:pPr>
      <w:r w:rsidRPr="00C56F55">
        <w:t>De enkelte punkter i denne rettevejledning har ikke samme vægt i vurderingen af en besvarelse, og det er således censorernes samlede vurdering af de enkelte spørgsmål, der er afgørende for, om en kandidat anses for bestået eller ikke-bestået.</w:t>
      </w:r>
    </w:p>
    <w:p w:rsidR="00CE7158" w:rsidRPr="00C56F55" w:rsidRDefault="00CE7158" w:rsidP="00CE7158">
      <w:pPr>
        <w:spacing w:after="0"/>
      </w:pPr>
    </w:p>
    <w:p w:rsidR="00CE7158" w:rsidRPr="00C56F55" w:rsidRDefault="00CE7158" w:rsidP="00CE7158">
      <w:pPr>
        <w:spacing w:after="0"/>
      </w:pPr>
      <w:r w:rsidRPr="00C56F55">
        <w:t>Omtaler kandidaten et forhold angivet i rettevejledningen enten overfladisk eller direkte fejlbehæftet, kan dette ikke tillægges vægt. F.eks. er det ikke tilstrækkeligt, at en kandidat i sin besvarelse anfører den konkrete henvisning til en lovbestemmelse eller standard, hvis ikke kandidaten redegør for, hvorfor denne henvisning er relevant, og hvad bestemmelsen indeholder.</w:t>
      </w:r>
    </w:p>
    <w:p w:rsidR="00CE7158" w:rsidRPr="00C56F55" w:rsidRDefault="00CE7158" w:rsidP="00CE7158">
      <w:pPr>
        <w:spacing w:after="0"/>
      </w:pPr>
    </w:p>
    <w:p w:rsidR="00CE7158" w:rsidRPr="00C56F55" w:rsidRDefault="00CE7158" w:rsidP="00CE7158">
      <w:pPr>
        <w:spacing w:after="0"/>
      </w:pPr>
      <w:r w:rsidRPr="00C56F55">
        <w:t>Omvendt kan der være tilfælde, hvor en kandidat vælger at strukturere besvarelsen anderledes end forudsat i denne rettevejledning, men hvor besvarelsen alligevel vurderes at være bestået. Især kan det forekomme, at en kandidat vælger at strukturere sin besvarelse af et spørgsmål, der er opdelt i et eller flere underspørgsmål, anderledes end det er forudsat i denne rettevejledning. Såfremt kandidatens opdeling i øvrigt virker naturlig, og besvarelsen har samme værdi for modtageren, skal dette ikke ændre den samlede vurdering af besvarelsen.</w:t>
      </w:r>
    </w:p>
    <w:p w:rsidR="00CE7158" w:rsidRPr="00C56F55" w:rsidRDefault="00CE7158" w:rsidP="00CE7158">
      <w:pPr>
        <w:spacing w:after="0"/>
      </w:pPr>
    </w:p>
    <w:p w:rsidR="00CE7158" w:rsidRPr="00C56F55" w:rsidRDefault="00CE7158" w:rsidP="00CE7158">
      <w:pPr>
        <w:spacing w:after="0"/>
      </w:pPr>
      <w:r w:rsidRPr="00C56F55">
        <w:t>Den samlede vurdering af, om en kandidat er bestået, vil ikke kun være et spørgsmål om, hvorvidt kandidaten korrekt redegør for de punkter, som er anført i denne rettevejledning, men også i hvilket omfang kandidaten begrunder sin besvarelse.</w:t>
      </w:r>
    </w:p>
    <w:p w:rsidR="00CE7158" w:rsidRPr="00C56F55" w:rsidRDefault="00CE7158" w:rsidP="00CE7158">
      <w:pPr>
        <w:spacing w:after="0"/>
      </w:pPr>
    </w:p>
    <w:p w:rsidR="00CE7158" w:rsidRPr="00C56F55" w:rsidRDefault="00CE7158" w:rsidP="00CE7158">
      <w:pPr>
        <w:spacing w:after="0"/>
        <w:rPr>
          <w:b/>
          <w:i/>
        </w:rPr>
      </w:pPr>
      <w:r w:rsidRPr="00C56F55">
        <w:rPr>
          <w:b/>
          <w:i/>
        </w:rPr>
        <w:t>Afgørende er, om besvarelsen er forståelig, samt om besvarelsen samlet set må anses for at have værdi for modtageren.</w:t>
      </w:r>
    </w:p>
    <w:p w:rsidR="00CE7158" w:rsidRPr="00C56F55" w:rsidRDefault="00CE7158" w:rsidP="00CE7158">
      <w:pPr>
        <w:spacing w:after="0"/>
      </w:pPr>
    </w:p>
    <w:p w:rsidR="00CE7158" w:rsidRPr="00C56F55" w:rsidRDefault="00CE7158" w:rsidP="00CE7158">
      <w:pPr>
        <w:spacing w:after="0"/>
      </w:pPr>
      <w:r w:rsidRPr="00C56F55">
        <w:t xml:space="preserve">Karakter gives efter 12-skalaen på de enkelte spørgsmål og sammenfattes til en samlet karakter for opgaven som helhed og til ”bestået” eller ”ikke-bestået”. Karaktergivningen baseres på en helhedsbedømmelse af kandidatens besvarelse. </w:t>
      </w:r>
      <w:r w:rsidRPr="00C56F55">
        <w:br w:type="page"/>
      </w:r>
    </w:p>
    <w:p w:rsidR="00CE7158" w:rsidRPr="00C56F55" w:rsidRDefault="00CE7158" w:rsidP="00CE7158">
      <w:pPr>
        <w:rPr>
          <w:b/>
        </w:rPr>
      </w:pPr>
      <w:r w:rsidRPr="00C56F55">
        <w:rPr>
          <w:b/>
        </w:rPr>
        <w:lastRenderedPageBreak/>
        <w:t>RETTEVEJLEDNING - MODUL B</w:t>
      </w:r>
    </w:p>
    <w:tbl>
      <w:tblPr>
        <w:tblStyle w:val="Tabel-Gitter"/>
        <w:tblW w:w="0" w:type="auto"/>
        <w:tblLook w:val="04A0" w:firstRow="1" w:lastRow="0" w:firstColumn="1" w:lastColumn="0" w:noHBand="0" w:noVBand="1"/>
      </w:tblPr>
      <w:tblGrid>
        <w:gridCol w:w="9628"/>
      </w:tblGrid>
      <w:tr w:rsidR="00CE7158" w:rsidRPr="00C56F55" w:rsidTr="002136C9">
        <w:tc>
          <w:tcPr>
            <w:tcW w:w="9778" w:type="dxa"/>
          </w:tcPr>
          <w:p w:rsidR="00CE7158" w:rsidRPr="00C56F55" w:rsidRDefault="00CE7158" w:rsidP="002136C9">
            <w:pPr>
              <w:rPr>
                <w:b/>
              </w:rPr>
            </w:pPr>
            <w:r w:rsidRPr="00C56F55">
              <w:rPr>
                <w:b/>
              </w:rPr>
              <w:t>Spørgsmål 1 (30 %)</w:t>
            </w:r>
          </w:p>
          <w:p w:rsidR="00CE7158" w:rsidRPr="00C56F55" w:rsidRDefault="00CE7158" w:rsidP="002136C9">
            <w:pPr>
              <w:spacing w:after="0"/>
            </w:pPr>
            <w:r w:rsidRPr="00C56F55">
              <w:t>Du bedes udarbejde et fremsendelsesklart notat til Ragner Gott, hvori du redegør for:</w:t>
            </w:r>
          </w:p>
          <w:p w:rsidR="00CE7158" w:rsidRPr="00C56F55" w:rsidRDefault="00CE7158" w:rsidP="002136C9">
            <w:pPr>
              <w:pStyle w:val="Listeafsnit"/>
              <w:numPr>
                <w:ilvl w:val="0"/>
                <w:numId w:val="4"/>
              </w:numPr>
              <w:spacing w:after="0"/>
            </w:pPr>
            <w:r w:rsidRPr="00C56F55">
              <w:t>Den regnskabsmæssige behandling af de tre ejendomme i årsregnskabet for EK Ejd. ApS</w:t>
            </w:r>
          </w:p>
          <w:p w:rsidR="00CE7158" w:rsidRPr="00C56F55" w:rsidRDefault="00CE7158" w:rsidP="002136C9">
            <w:pPr>
              <w:pStyle w:val="Listeafsnit"/>
              <w:numPr>
                <w:ilvl w:val="0"/>
                <w:numId w:val="4"/>
              </w:numPr>
              <w:spacing w:after="0"/>
              <w:ind w:right="-144"/>
            </w:pPr>
            <w:r w:rsidRPr="00C56F55">
              <w:t>Den regnskabsmæssige behandling af de tre ejendomme i koncernregnskabet for Elkæden A/S, herunder salget af ejendommene fra Elkæden A/S til EK Ejd. ApS</w:t>
            </w:r>
          </w:p>
          <w:p w:rsidR="00CE7158" w:rsidRPr="00C56F55" w:rsidRDefault="00CE7158" w:rsidP="002136C9">
            <w:pPr>
              <w:pStyle w:val="Listeafsnit"/>
              <w:numPr>
                <w:ilvl w:val="0"/>
                <w:numId w:val="4"/>
              </w:numPr>
              <w:spacing w:after="0"/>
            </w:pPr>
            <w:r w:rsidRPr="00C56F55">
              <w:t xml:space="preserve">Hvilke </w:t>
            </w:r>
            <w:r w:rsidRPr="00C56F55">
              <w:rPr>
                <w:u w:val="single"/>
              </w:rPr>
              <w:t>konkrete</w:t>
            </w:r>
            <w:r w:rsidRPr="00C56F55">
              <w:t xml:space="preserve"> oplysninger der skal gives i relation til ejendommene i henholdsvis årsregnskabet for EK Ejd. ApS og koncernregnskabet</w:t>
            </w:r>
          </w:p>
          <w:p w:rsidR="00CE7158" w:rsidRPr="00C56F55" w:rsidRDefault="00CE7158" w:rsidP="002136C9">
            <w:pPr>
              <w:pStyle w:val="Listeafsnit"/>
              <w:numPr>
                <w:ilvl w:val="0"/>
                <w:numId w:val="4"/>
              </w:numPr>
              <w:ind w:left="714" w:hanging="357"/>
            </w:pPr>
            <w:r w:rsidRPr="00C56F55">
              <w:t>Kortfattet (eventuelt i punktform)</w:t>
            </w:r>
            <w:r>
              <w:t>,</w:t>
            </w:r>
            <w:r w:rsidRPr="00C56F55">
              <w:t xml:space="preserve"> hvilket </w:t>
            </w:r>
            <w:r w:rsidRPr="00C56F55">
              <w:rPr>
                <w:u w:val="single"/>
              </w:rPr>
              <w:t>yderligere</w:t>
            </w:r>
            <w:r w:rsidRPr="00C56F55">
              <w:t xml:space="preserve"> revisionsmateriale i forhold til tidligere år du har brug for, hvis ejendommene måles til dagsværdi. Tidligere år er der udarbejdet et anlægskartotek og vedlagt kopi af bilagene for de største tilgange.</w:t>
            </w:r>
          </w:p>
        </w:tc>
      </w:tr>
    </w:tbl>
    <w:p w:rsidR="00CE7158" w:rsidRPr="00C56F55" w:rsidRDefault="00CE7158" w:rsidP="00CE7158"/>
    <w:tbl>
      <w:tblPr>
        <w:tblStyle w:val="Tabel-Gitter"/>
        <w:tblW w:w="0" w:type="auto"/>
        <w:tblLook w:val="04A0" w:firstRow="1" w:lastRow="0" w:firstColumn="1" w:lastColumn="0" w:noHBand="0" w:noVBand="1"/>
      </w:tblPr>
      <w:tblGrid>
        <w:gridCol w:w="4840"/>
        <w:gridCol w:w="4788"/>
      </w:tblGrid>
      <w:tr w:rsidR="00CE7158" w:rsidRPr="00C56F55" w:rsidTr="002136C9">
        <w:tc>
          <w:tcPr>
            <w:tcW w:w="4889" w:type="dxa"/>
          </w:tcPr>
          <w:p w:rsidR="00CE7158" w:rsidRPr="00C56F55" w:rsidRDefault="00CE7158" w:rsidP="002136C9">
            <w:pPr>
              <w:rPr>
                <w:b/>
              </w:rPr>
            </w:pPr>
            <w:r w:rsidRPr="00C56F55">
              <w:rPr>
                <w:b/>
              </w:rPr>
              <w:t>Centrale regler og fortolkninger</w:t>
            </w:r>
          </w:p>
          <w:p w:rsidR="00CE7158" w:rsidRPr="00C56F55" w:rsidRDefault="00CE7158" w:rsidP="002136C9">
            <w:r w:rsidRPr="00C56F55">
              <w:t>ÅRL §§ 38, 41-43, 53, 58, 58 a og 115.</w:t>
            </w:r>
          </w:p>
          <w:p w:rsidR="00CE7158" w:rsidRPr="00C56F55" w:rsidRDefault="00CE7158" w:rsidP="002136C9">
            <w:r w:rsidRPr="00C56F55">
              <w:t>IAS 40 og IFRS 13.</w:t>
            </w:r>
          </w:p>
          <w:p w:rsidR="00CE7158" w:rsidRPr="00C56F55" w:rsidRDefault="00CE7158" w:rsidP="002136C9">
            <w:pPr>
              <w:rPr>
                <w:b/>
              </w:rPr>
            </w:pPr>
            <w:r w:rsidRPr="00C56F55">
              <w:t>ISA 540.</w:t>
            </w:r>
          </w:p>
        </w:tc>
        <w:tc>
          <w:tcPr>
            <w:tcW w:w="4889" w:type="dxa"/>
          </w:tcPr>
          <w:p w:rsidR="00CE7158" w:rsidRPr="00C56F55" w:rsidRDefault="00CE7158" w:rsidP="002136C9">
            <w:pPr>
              <w:rPr>
                <w:b/>
              </w:rPr>
            </w:pPr>
          </w:p>
        </w:tc>
      </w:tr>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 kan bestå (det vil sige minimum karakteren 02)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Notatet har en hensigtsmæssig struktur, er stilet til Ragner Gott og er formuleret i et passende sprog til en regnskabschef.</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Kandidaten forventes at redegøre for den regn</w:t>
            </w:r>
            <w:r w:rsidRPr="00C56F55">
              <w:softHyphen/>
              <w:t>skabsmæssige behandling af ejendommene og i et vist omfang at inddrage tallene i opgavens bilag 2.</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1+2: Butiksejendommene i Odense og København: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Butiksejendommene udlejes koncerneksternt og opfylder dermed definitionen på investeringsejen</w:t>
            </w:r>
            <w:r w:rsidRPr="00C56F55">
              <w:softHyphen/>
              <w:t>domme både i EK Ejd. ApS og i koncernregnskabet.</w:t>
            </w:r>
          </w:p>
          <w:p w:rsidR="00CE7158" w:rsidRPr="00C56F55" w:rsidRDefault="00CE7158" w:rsidP="002136C9">
            <w:r w:rsidRPr="00C56F55">
              <w:t>Principperne for indregning og måling af butiks</w:t>
            </w:r>
            <w:r w:rsidRPr="00C56F55">
              <w:softHyphen/>
              <w:t>ejendommene vil derfor være ens i EK Ejd. ApS og i koncernregnskabet.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lastRenderedPageBreak/>
              <w:t>Ragner Gott har spurgt til muligheden for, at ejendommene måles til dagsværdi, således at løbende værdi</w:t>
            </w:r>
            <w:r w:rsidRPr="00C56F55">
              <w:softHyphen/>
              <w:t>stigninger på ejendommene kan bidrage positivt til Elkædens resultater. Kandidaten skal derfor redegøre for, at det er muligt at måle butiksejen</w:t>
            </w:r>
            <w:r w:rsidRPr="00C56F55">
              <w:softHyphen/>
              <w:t xml:space="preserve">dommene til dagsværdi i henhold til ÅRL § 38 både i EK Ejd. ApS og i koncernregnskabet. </w:t>
            </w:r>
          </w:p>
          <w:p w:rsidR="00CE7158" w:rsidRPr="00C56F55" w:rsidRDefault="00CE7158" w:rsidP="002136C9">
            <w:r w:rsidRPr="00C56F55">
              <w:t>Det er forudsat i det følgende, at ÅRL § 38 anvendes for butiksejendommene, idet opskrivning til dagsværdi via egenkapitalen i henhold til ÅRL § 41 ikke imødekommer Ragner Gotts forespørgsel.</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 koncernregnskabet skal der foretages følgende elimineringer og reguleringer vedrørende butiksejendommene:</w:t>
            </w:r>
          </w:p>
          <w:p w:rsidR="00CE7158" w:rsidRPr="00C56F55" w:rsidRDefault="00CE7158" w:rsidP="002136C9">
            <w:r w:rsidRPr="00C56F55">
              <w:t>Realiseret tab på butiksejendommene, TDKK 1.966, som er indregnet i Elkæden A/S, skal elimineres. Modposten er værdien af ejendommene.</w:t>
            </w:r>
          </w:p>
          <w:p w:rsidR="00CE7158" w:rsidRPr="00C56F55" w:rsidRDefault="00CE7158" w:rsidP="002136C9">
            <w:r w:rsidRPr="00C56F55">
              <w:t>Da ejendommene også måles til dagsværdi i koncernregnskabet, skal der indregnes en dagsværdiregulering i koncernregnskabet. Denne svarer til det realiserede tab i Elkæden A/S.</w:t>
            </w:r>
          </w:p>
          <w:p w:rsidR="00CE7158" w:rsidRPr="00C56F55" w:rsidRDefault="00CE7158" w:rsidP="002136C9">
            <w:r w:rsidRPr="00C56F55">
              <w:t>Nettoeffekten bliver således alene en reklassifika</w:t>
            </w:r>
            <w:r w:rsidRPr="00C56F55">
              <w:softHyphen/>
              <w:t>tion mellem realiseret og urealiseret tab i resultat</w:t>
            </w:r>
            <w:r w:rsidRPr="00C56F55">
              <w:softHyphen/>
              <w:t>opgørelsen og en tilsvarende reklassifikation i anlægsnoten.</w:t>
            </w:r>
          </w:p>
          <w:p w:rsidR="00CE7158" w:rsidRPr="00C56F55" w:rsidRDefault="00CE7158" w:rsidP="002136C9">
            <w:r w:rsidRPr="00C56F55">
              <w:t>Elimineringer og reguleringer for alle koncernens ejendomme set under ét fremgår af bilag 1 til denne rettevejledning.</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1+2: Administrationsejendommen i Vejle: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 EK Ejd. ApS er der tale om en udlejningsejendom, som opfylder definitionen på en investerings</w:t>
            </w:r>
            <w:r w:rsidRPr="00C56F55">
              <w:softHyphen/>
              <w:t>ejendom. I EK Ejd. ApS skal administrationsejen</w:t>
            </w:r>
            <w:r w:rsidRPr="00C56F55">
              <w:softHyphen/>
              <w:t>dommen i Vejle derfor behandles på samme måde som butiksejendommene (ÅRL § 38), jf. ovenfor.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 koncernregnskabet er ejendommen i Vejle derimod en domicilejendom, eftersom den tjener til koncernens eget brug.</w:t>
            </w:r>
          </w:p>
          <w:p w:rsidR="00CE7158" w:rsidRPr="00C56F55" w:rsidRDefault="00CE7158" w:rsidP="002136C9">
            <w:r w:rsidRPr="00C56F55">
              <w:lastRenderedPageBreak/>
              <w:t>En domicilejendom kan ikke måles til dagsværdi via resultatopgørelsen i henhold til ÅRL § 38.</w:t>
            </w:r>
          </w:p>
          <w:p w:rsidR="00CE7158" w:rsidRPr="00C56F55" w:rsidRDefault="00CE7158" w:rsidP="002136C9">
            <w:r w:rsidRPr="00C56F55">
              <w:t>I koncernregnskabet skal domicilejendommen i Vejle derfor enten måles til kostpris minus afskrivninger eller opskrives til dagsværdi via egenkapitalen (ÅRL § 41).</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 koncernregnskabet skal der foretages følgende elimineringer og reguleringer vedrørende administrationsejendommen i Vejle:</w:t>
            </w:r>
          </w:p>
          <w:p w:rsidR="00CE7158" w:rsidRPr="00C56F55" w:rsidRDefault="00CE7158" w:rsidP="002136C9">
            <w:r w:rsidRPr="00C56F55">
              <w:t>Realiseret gevinst på ejendommen, TDKK 2.553, som er indregnet i Elkæden A/S, skal elimineres. Modposten er værdien af ejendommen.</w:t>
            </w:r>
          </w:p>
          <w:p w:rsidR="00CE7158" w:rsidRPr="00C56F55" w:rsidRDefault="00CE7158" w:rsidP="002136C9">
            <w:r w:rsidRPr="00C56F55">
              <w:t>Den positive dagsværdiregulering, TDKK 500 (35.500 - 35.000), som er indregnet i EK Ejd. ApS, skal tilbageføres. Modposten er værdien af ejendommen.</w:t>
            </w:r>
          </w:p>
          <w:p w:rsidR="00CE7158" w:rsidRPr="00C56F55" w:rsidRDefault="00CE7158" w:rsidP="002136C9">
            <w:r w:rsidRPr="00C56F55">
              <w:t>Afskrivninger, TDKK 1.147, baseret på det hidtidige afskrivningsgrundlag skal indregnes.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Udskudt skat i koncernregnskabet skal reguleres med 22 % af resultateffekten af alle reguleringerne af ejendommene på i alt TDKK 4.200, dvs. med TDKK 924.</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3: Konkrete oplysninger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 koncernregnskabet er der krav om en anlægsnote.</w:t>
            </w:r>
          </w:p>
          <w:p w:rsidR="00CE7158" w:rsidRPr="00C56F55" w:rsidRDefault="00CE7158" w:rsidP="002136C9">
            <w:r w:rsidRPr="00C56F55">
              <w:t>EK Ejd. ApS tilhører regnskabsklasse B, da det må forudsættes, at omsætningen og antal beskæf</w:t>
            </w:r>
            <w:r w:rsidRPr="00C56F55">
              <w:softHyphen/>
              <w:t>tigede er inden for størrelsesgrænserne.</w:t>
            </w:r>
          </w:p>
          <w:p w:rsidR="00CE7158" w:rsidRPr="00C56F55" w:rsidRDefault="00CE7158" w:rsidP="002136C9">
            <w:r w:rsidRPr="00C56F55">
              <w:t>Der er derfor ikke krav om en anlægsnote i EK Ejd. ApS.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Der skal oplyses om anvendt regnskabspraksis for grunde og bygninger.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 koncernregnskabet skal der ud over dagsværdi</w:t>
            </w:r>
            <w:r w:rsidRPr="00C56F55">
              <w:softHyphen/>
              <w:t>princippet for investeringsejendommene oplyses om regnskabspraksis for domicilejendomme samt afskrivningsperioden.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lastRenderedPageBreak/>
              <w:t xml:space="preserve">Der skal oplyses om de værdiansættelsesmodeller og -teknikker, som er anvendt ved opgørelsen af dagsværdien, når aktiver eller forpligtelser måles til dagsværdi i henhold til ÅRL § 38, og dette ikke sker på grundlag af observationer på et aktivt marked (gælder både i EK Ejd. ApS og i koncernregnskabet). </w:t>
            </w:r>
          </w:p>
          <w:p w:rsidR="00CE7158" w:rsidRPr="00C56F55" w:rsidRDefault="00CE7158" w:rsidP="002136C9">
            <w:r w:rsidRPr="00C56F55">
              <w:t>Markedsstatistikker er ikke udtryk for ”observa</w:t>
            </w:r>
            <w:r w:rsidRPr="00C56F55">
              <w:softHyphen/>
              <w:t>tioner på et aktivt marked”, og oplysningerne kan derfor ikke undlades.</w:t>
            </w:r>
          </w:p>
          <w:p w:rsidR="00CE7158" w:rsidRPr="00C56F55" w:rsidRDefault="00CE7158" w:rsidP="002136C9">
            <w:r w:rsidRPr="00C56F55">
              <w:t>Oplysningerne kan eksempelvis omfatte DCF-modellen, en afkast</w:t>
            </w:r>
            <w:r w:rsidRPr="00C56F55">
              <w:softHyphen/>
              <w:t>baseret model/normal</w:t>
            </w:r>
            <w:r w:rsidRPr="00C56F55">
              <w:softHyphen/>
              <w:t>indtjeningsmodellen eller sammenlignelige handler (men ikke en mæglervurdering, da en sådan ikke i sig selv er en værdiansættelsesmetode).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Det skal fremgå entydigt af beskrivelsen af anvendt regnskabspraksis, hvis der anvendes en DCF-model.</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Der skal oplyses om de centrale forudsætninger, som er anvendt ved beregningen. Oplysningskravet indebærer, at der skal gives oplysning om alle de forudsætninger, som er nødvendige for, at regnskabsbrugeren kan vurdere virksomhedens beregninger.</w:t>
            </w:r>
          </w:p>
          <w:p w:rsidR="00CE7158" w:rsidRPr="00C56F55" w:rsidRDefault="00CE7158" w:rsidP="002136C9">
            <w:r w:rsidRPr="00C56F55">
              <w:t>For de konkrete ejendomme, som alle er fuldt udlejede, vil følgende kunne anses for at være centrale forudsætninger ved brug af DCF-modellen:</w:t>
            </w:r>
          </w:p>
          <w:p w:rsidR="00CE7158" w:rsidRPr="00C56F55" w:rsidRDefault="00CE7158" w:rsidP="002136C9">
            <w:pPr>
              <w:pStyle w:val="Listeafsnit"/>
              <w:numPr>
                <w:ilvl w:val="0"/>
                <w:numId w:val="9"/>
              </w:numPr>
            </w:pPr>
            <w:r w:rsidRPr="00C56F55">
              <w:t>Diskonteringsrente</w:t>
            </w:r>
          </w:p>
          <w:p w:rsidR="00CE7158" w:rsidRPr="00C56F55" w:rsidRDefault="00CE7158" w:rsidP="002136C9">
            <w:pPr>
              <w:pStyle w:val="Listeafsnit"/>
              <w:numPr>
                <w:ilvl w:val="0"/>
                <w:numId w:val="9"/>
              </w:numPr>
            </w:pPr>
            <w:r w:rsidRPr="00C56F55">
              <w:t>Forventet inflation</w:t>
            </w:r>
          </w:p>
          <w:p w:rsidR="00CE7158" w:rsidRPr="00C56F55" w:rsidRDefault="00CE7158" w:rsidP="002136C9">
            <w:pPr>
              <w:pStyle w:val="Listeafsnit"/>
              <w:numPr>
                <w:ilvl w:val="0"/>
                <w:numId w:val="9"/>
              </w:numPr>
            </w:pPr>
            <w:r w:rsidRPr="00C56F55">
              <w:t>Ændringer i lejeniveau</w:t>
            </w:r>
          </w:p>
          <w:p w:rsidR="00CE7158" w:rsidRPr="00C56F55" w:rsidRDefault="00CE7158" w:rsidP="002136C9">
            <w:pPr>
              <w:pStyle w:val="Listeafsnit"/>
              <w:numPr>
                <w:ilvl w:val="0"/>
                <w:numId w:val="9"/>
              </w:numPr>
            </w:pPr>
            <w:r w:rsidRPr="00C56F55">
              <w:t>Vedligeholdelse, f.eks. pr. m</w:t>
            </w:r>
            <w:r w:rsidRPr="00C56F55">
              <w:rPr>
                <w:vertAlign w:val="superscript"/>
              </w:rPr>
              <w:t>2</w:t>
            </w:r>
            <w:r w:rsidRPr="00C56F55">
              <w:t xml:space="preserve"> eller i % af lejen</w:t>
            </w:r>
          </w:p>
          <w:p w:rsidR="00CE7158" w:rsidRPr="00C56F55" w:rsidRDefault="00CE7158" w:rsidP="002136C9">
            <w:r w:rsidRPr="00C56F55">
              <w:t>Ved brug af en afkastbaseret model/normalind</w:t>
            </w:r>
            <w:r w:rsidRPr="00C56F55">
              <w:softHyphen/>
              <w:t>tjeningsmodellen vil det anvendte afkastkrav samt bullet 3 og 4 ovenfor kunne anses for at være centrale forudsætninger.</w:t>
            </w:r>
          </w:p>
          <w:p w:rsidR="00CE7158" w:rsidRPr="00C56F55" w:rsidRDefault="00CE7158" w:rsidP="002136C9">
            <w:r w:rsidRPr="00C56F55">
              <w:t>Diskonteringsrenten/afkastkravet alene er ikke tilstrækkeligt til at opfylde oplysningskravet.</w:t>
            </w:r>
          </w:p>
          <w:p w:rsidR="00CE7158" w:rsidRPr="00C56F55" w:rsidRDefault="00CE7158" w:rsidP="002136C9">
            <w:r w:rsidRPr="00C56F55">
              <w:lastRenderedPageBreak/>
              <w:t>Det trækker væsentligt ned i bedømmelsen af spørgsmål 1, punkt 3, hvis kandidaten ikke giver konkrete eksempler på ”centrale forudsætninger”, idet kandidaten er blevet bedt om at redegøre for</w:t>
            </w:r>
            <w:r>
              <w:t>,</w:t>
            </w:r>
            <w:r w:rsidRPr="00C56F55">
              <w:t xml:space="preserve"> hvilke </w:t>
            </w:r>
            <w:r w:rsidRPr="00C56F55">
              <w:rPr>
                <w:u w:val="single"/>
              </w:rPr>
              <w:t>konkrete</w:t>
            </w:r>
            <w:r w:rsidRPr="00C56F55">
              <w:t xml:space="preserve"> oplysninger der skal gives.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4: Yderligere materiale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Der skal udarbejdes materiale, som dokumenterer værdiansættelsen til dagsværdi og oplysningerne om de centrale forudsætninger, der er anvendt.</w:t>
            </w:r>
          </w:p>
          <w:p w:rsidR="00CE7158" w:rsidRPr="00C56F55" w:rsidRDefault="00CE7158" w:rsidP="002136C9">
            <w:r w:rsidRPr="00C56F55">
              <w:t>Dette kan for EK Ejd. ApS eksempelvis omfatte:</w:t>
            </w:r>
          </w:p>
          <w:p w:rsidR="00CE7158" w:rsidRPr="00C56F55" w:rsidRDefault="00CE7158" w:rsidP="002136C9">
            <w:pPr>
              <w:pStyle w:val="Listeafsnit"/>
              <w:numPr>
                <w:ilvl w:val="0"/>
                <w:numId w:val="6"/>
              </w:numPr>
            </w:pPr>
            <w:r w:rsidRPr="00C56F55">
              <w:t>Værdiberegning (typisk DCF-model eller en afkastbaseret model/normalindtjenings</w:t>
            </w:r>
            <w:r w:rsidRPr="00C56F55">
              <w:softHyphen/>
              <w:t>modellen)</w:t>
            </w:r>
          </w:p>
          <w:p w:rsidR="00CE7158" w:rsidRPr="00C56F55" w:rsidRDefault="00CE7158" w:rsidP="002136C9">
            <w:pPr>
              <w:pStyle w:val="Listeafsnit"/>
              <w:numPr>
                <w:ilvl w:val="0"/>
                <w:numId w:val="6"/>
              </w:numPr>
            </w:pPr>
            <w:r w:rsidRPr="00C56F55">
              <w:t>Kopi af lejekontrakter</w:t>
            </w:r>
          </w:p>
          <w:p w:rsidR="00CE7158" w:rsidRPr="00C56F55" w:rsidRDefault="00CE7158" w:rsidP="002136C9">
            <w:pPr>
              <w:pStyle w:val="Listeafsnit"/>
              <w:numPr>
                <w:ilvl w:val="0"/>
                <w:numId w:val="6"/>
              </w:numPr>
            </w:pPr>
            <w:r w:rsidRPr="00C56F55">
              <w:t>Grundlag for driftsomkostninger</w:t>
            </w:r>
          </w:p>
          <w:p w:rsidR="00CE7158" w:rsidRPr="00C56F55" w:rsidRDefault="00CE7158" w:rsidP="002136C9">
            <w:pPr>
              <w:pStyle w:val="Listeafsnit"/>
              <w:numPr>
                <w:ilvl w:val="0"/>
                <w:numId w:val="6"/>
              </w:numPr>
            </w:pPr>
            <w:r w:rsidRPr="00C56F55">
              <w:t>Grundlag for diskonterings</w:t>
            </w:r>
            <w:r w:rsidRPr="00C56F55">
              <w:softHyphen/>
              <w:t>renten eller afkast</w:t>
            </w:r>
            <w:r w:rsidRPr="00C56F55">
              <w:softHyphen/>
              <w:t>kravet (f.eks. med udgangspunkt i markedsstatistikker fra ejendomsmæglere).</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7"/>
        <w:gridCol w:w="4801"/>
      </w:tblGrid>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 er over bestået (det vil sige minimum karakteren 4-7)</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Gør i stort omfang brug af tallene i opgavens bilag 2, således at notatet fremstår meget praktisk anvendeligt for Ragner Gott.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investeringsejendomme er materielle anlægsaktiver, som ved første indregning skal måles til kostpris, og hvor der kan vælges mellem tre metoder for den efterfølgende måling:</w:t>
            </w:r>
          </w:p>
          <w:p w:rsidR="00CE7158" w:rsidRPr="00C56F55" w:rsidRDefault="00CE7158" w:rsidP="002136C9">
            <w:pPr>
              <w:pStyle w:val="Listeafsnit"/>
              <w:numPr>
                <w:ilvl w:val="0"/>
                <w:numId w:val="5"/>
              </w:numPr>
            </w:pPr>
            <w:r w:rsidRPr="00C56F55">
              <w:t>Kostpris minus af- og nedskrivninger</w:t>
            </w:r>
          </w:p>
          <w:p w:rsidR="00CE7158" w:rsidRPr="00C56F55" w:rsidRDefault="00CE7158" w:rsidP="002136C9">
            <w:pPr>
              <w:pStyle w:val="Listeafsnit"/>
              <w:numPr>
                <w:ilvl w:val="0"/>
                <w:numId w:val="5"/>
              </w:numPr>
            </w:pPr>
            <w:r w:rsidRPr="00C56F55">
              <w:t>Opskrivning til dagsværdi via egenkapitalen</w:t>
            </w:r>
          </w:p>
          <w:p w:rsidR="00CE7158" w:rsidRPr="00C56F55" w:rsidRDefault="00CE7158" w:rsidP="002136C9">
            <w:pPr>
              <w:pStyle w:val="Listeafsnit"/>
              <w:numPr>
                <w:ilvl w:val="0"/>
                <w:numId w:val="5"/>
              </w:numPr>
            </w:pPr>
            <w:r w:rsidRPr="00C56F55">
              <w:t>Regulering til dagsværdi via resultat</w:t>
            </w:r>
            <w:r w:rsidRPr="00C56F55">
              <w:softHyphen/>
              <w:t>opgørelsen</w:t>
            </w:r>
          </w:p>
          <w:p w:rsidR="00CE7158" w:rsidRPr="00C56F55" w:rsidRDefault="00CE7158" w:rsidP="002136C9">
            <w:r w:rsidRPr="00C56F55">
              <w:t>Målemetode 3 kræver ikke længere, at investerings</w:t>
            </w:r>
            <w:r w:rsidRPr="00C56F55">
              <w:softHyphen/>
              <w:t>aktivitet er selskabets/koncernens hovedaktivitet.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lastRenderedPageBreak/>
              <w:t xml:space="preserve">Forholder sig nærmere til definitionen på en investeringsejendom, jf. IAS 40.5: </w:t>
            </w:r>
          </w:p>
          <w:p w:rsidR="00CE7158" w:rsidRPr="00C56F55" w:rsidRDefault="00CE7158" w:rsidP="002136C9">
            <w:r w:rsidRPr="00C56F55">
              <w:t>”</w:t>
            </w:r>
            <w:r w:rsidRPr="00C56F55">
              <w:rPr>
                <w:i/>
                <w:sz w:val="20"/>
                <w:szCs w:val="20"/>
              </w:rPr>
              <w:t>Investeringsejendomme er ejendomme (…), som besiddes (…) for at opnå lejeindtægter, kapitalgevinst eller begge dele, frem for ejendomme, som: a) anvendes til produktion, til levering af varer og tjenesteydelser eller til administrative formål eller b) videresælges som led i det normale forretningsforløb</w:t>
            </w:r>
            <w:r w:rsidRPr="00C56F55">
              <w: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Forholder sig til, om betingelserne for reklassifika</w:t>
            </w:r>
            <w:r w:rsidRPr="00C56F55">
              <w:softHyphen/>
              <w:t>tion af butiksejendommene fra domicilejendomme til investeringsejendomme i koncernregnskabet er opfyldt. Dette er tilfældet, idet hensigten med butiksejendommene er ændret, og der er indgået lejeaftaler.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Redegør for, at aktiver skal måles systematisk og konsekvent. I EK Ejd. ApS er det derfor ikke muligt at anvende forskellige principper for henholdsvis butiks</w:t>
            </w:r>
            <w:r w:rsidRPr="00C56F55">
              <w:softHyphen/>
              <w:t>ejendommene og administrationsejendom</w:t>
            </w:r>
            <w:r w:rsidRPr="00C56F55">
              <w:softHyphen/>
              <w:t>men i Vejle.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det kan være relevant at måle domicil</w:t>
            </w:r>
            <w:r w:rsidRPr="00C56F55">
              <w:softHyphen/>
              <w:t>ejendommen i Vejle til dagsværdi i henhold til ÅRL § 41 i koncernregnskabet, da alle koncernens ejen</w:t>
            </w:r>
            <w:r w:rsidRPr="00C56F55">
              <w:softHyphen/>
              <w:t>domme derved måles til dagsværdi.</w:t>
            </w:r>
          </w:p>
          <w:p w:rsidR="00CE7158" w:rsidRPr="00C56F55" w:rsidRDefault="00CE7158" w:rsidP="002136C9">
            <w:r w:rsidRPr="00C56F55">
              <w:t>I givet fald skal opskrivninger med fradrag af udskudt skat bindes på ”Reserve for opskrivninger”. Der skal oplyses om bevægelser på denne reserve, og der skal oplyses om den regnskabsmæssige værdi, hvis opskrivning efter § 41 ikke havde været foretaget.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Gør Ragner Gott opmærksom på, at værdiansæt</w:t>
            </w:r>
            <w:r w:rsidRPr="00C56F55">
              <w:softHyphen/>
              <w:t>telse til dagsværdi medfører, at dagsværdierne skal opgøres hvert år, hvilket er mere tidskrævende både for selskabet og for revisor sammenlignet med kostprisprincippet.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Omtaler, at en vurdering fra en ejendomsmægler ikke i sig selv er en værdiansættelsesmetode. Hvis opgørelsen af dagsværdien er baseret på en mæglervurdering, skal der derfor oplyses om de af </w:t>
            </w:r>
            <w:r w:rsidRPr="00C56F55">
              <w:lastRenderedPageBreak/>
              <w:t>mægleren anvendte værdiansættelses</w:t>
            </w:r>
            <w:r w:rsidRPr="00C56F55">
              <w:softHyphen/>
              <w:t>metoder og centrale forudsætninger.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oplysningerne om centrale forudsætninger kan gives samlet for en kategori eller en gruppe af aktiver, hvis de centrale forudsætninger for dagsværdiberegningen i henholdsvis kategorien og gruppen af aktiver ikke afviger væsentligt indbyrdes.</w:t>
            </w:r>
          </w:p>
          <w:p w:rsidR="00CE7158" w:rsidRPr="00C56F55" w:rsidRDefault="00CE7158" w:rsidP="002136C9">
            <w:r w:rsidRPr="00C56F55">
              <w:t>Henset til den geografiske forskel på ejendommene vil bestemmelsen imidlertid næppe kunne anvendes af Elkæden.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ÅRL ikke kræver en følsomhedsanalyse af værdiberegningen, men at det kan overvejes at medtage sådanne oplysninger i regnskabet, da det kan være værdifuld information for regnskabslæser.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Efterspørger en følsomhedsanalyse til brug for revisionen af værdiansættelsen.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det som revisionsmateriale kan være relevant/nødvendigt at indhente mæglervurderin</w:t>
            </w:r>
            <w:r w:rsidRPr="00C56F55">
              <w:softHyphen/>
              <w:t>ger på turnusbasis.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hvis der anvendes mæglervurderinger i forbindelse med opgørelse af de regnskabsmæssige dagsværdier, så skal det undersøges, om mægleren har anvendt forudsætninger og metoder, som er i overensstemmelse med principperne for opgørelse af dagsværdi i henhold til ÅRL / IFRS 13.</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Er opmærksom på, at det koncerninterne tab på ejendommen i København – som er baseret på en uafhængig mæglervurdering – indikerer, at der måske var et nedskrivningsbehov, som skulle have været indarbejdet i Elkædens årsrapport for 2017.</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Øvrige forhold, som får notatet til at fremstå mere målrettet.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 om kandidaten er over bestået</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9"/>
        <w:gridCol w:w="4799"/>
      </w:tblGrid>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kandidatens besvarelse er god eller rigtig god (det vil sige karakteren 10-12).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Gør Ragner Gott opmærksom på, at værdiansæt</w:t>
            </w:r>
            <w:r w:rsidRPr="00C56F55">
              <w:softHyphen/>
              <w:t>telse til dagsværdi også kan medføre negative værdireguleringer, som kan påvirke Elkædens resultat væsentligt.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det ikke umiddelbart er muligt at skifte tilbage til kostprisprincippet fra dagsværdi</w:t>
            </w:r>
            <w:r w:rsidRPr="00C56F55">
              <w:softHyphen/>
              <w:t>princippet, eftersom det er Erhvervsstyrelsen</w:t>
            </w:r>
            <w:r>
              <w:t>s</w:t>
            </w:r>
            <w:r w:rsidRPr="00C56F55">
              <w:t xml:space="preserve"> generelle opfattelse, at måling til kostpris ikke giver et mere retvisende billede end måling til dagsværdi.</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Udviser kendskab til den regnskabsmæssige behandling af de forskelle mellem dagsværdi og regnskabsmæssig værdi, som forekommer på tidspunktet for reklassifikation fra domicilejen</w:t>
            </w:r>
            <w:r w:rsidRPr="00C56F55">
              <w:softHyphen/>
              <w:t>domme til investeringsejendomme:</w:t>
            </w:r>
          </w:p>
          <w:p w:rsidR="00CE7158" w:rsidRPr="00C56F55" w:rsidRDefault="00CE7158" w:rsidP="002136C9">
            <w:r w:rsidRPr="00C56F55">
              <w:t>IAS 40.61: ”</w:t>
            </w:r>
            <w:r w:rsidRPr="00C56F55">
              <w:rPr>
                <w:i/>
                <w:sz w:val="20"/>
                <w:szCs w:val="20"/>
              </w:rPr>
              <w:t xml:space="preserve">Hvis en domicilejendom bliver ændret til en investeringsejendom, som skal indregnes til dagsværdi, skal virksomheden anvende </w:t>
            </w:r>
            <w:hyperlink r:id="rId5" w:history="1">
              <w:r w:rsidRPr="00C56F55">
                <w:rPr>
                  <w:i/>
                  <w:sz w:val="20"/>
                  <w:szCs w:val="20"/>
                </w:rPr>
                <w:t>IAS 16</w:t>
              </w:r>
            </w:hyperlink>
            <w:r w:rsidRPr="00C56F55">
              <w:rPr>
                <w:i/>
                <w:sz w:val="20"/>
                <w:szCs w:val="20"/>
              </w:rPr>
              <w:t xml:space="preserve"> frem til det tidspunkt, hvor anvendelsen ændres. Virksomheden skal behandle eventuelle forskelle på dette tidspunkt mellem ejendom</w:t>
            </w:r>
            <w:r w:rsidRPr="00C56F55">
              <w:rPr>
                <w:i/>
                <w:sz w:val="20"/>
                <w:szCs w:val="20"/>
              </w:rPr>
              <w:softHyphen/>
              <w:t xml:space="preserve">mens regnskabsmæssige værdi i overensstemmelse med </w:t>
            </w:r>
            <w:hyperlink r:id="rId6" w:history="1">
              <w:r w:rsidRPr="00C56F55">
                <w:rPr>
                  <w:i/>
                  <w:sz w:val="20"/>
                  <w:szCs w:val="20"/>
                </w:rPr>
                <w:t>IAS 16</w:t>
              </w:r>
            </w:hyperlink>
            <w:r w:rsidRPr="00C56F55">
              <w:rPr>
                <w:i/>
                <w:sz w:val="20"/>
                <w:szCs w:val="20"/>
              </w:rPr>
              <w:t xml:space="preserve"> og dens dagsværdi på samme måde som en omvurdering i overensstemmelse med </w:t>
            </w:r>
            <w:hyperlink r:id="rId7" w:history="1">
              <w:r w:rsidRPr="00C56F55">
                <w:rPr>
                  <w:i/>
                  <w:sz w:val="20"/>
                  <w:szCs w:val="20"/>
                </w:rPr>
                <w:t>IAS 16</w:t>
              </w:r>
            </w:hyperlink>
            <w:r w:rsidRPr="00C56F55">
              <w: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revisor ikke kan komme med input til selve værdiansættelsen</w:t>
            </w:r>
            <w:r>
              <w:t>,</w:t>
            </w:r>
            <w:r w:rsidRPr="00C56F55">
              <w:t xml:space="preserve"> men godt kan rådgive om værdiansættelsesmodellen – evt. under iagttagelse af sikkerhedsforanstaltninger.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Ingen nævneværdige, faglige fejl eller fejl vedrørende formulering og disponering.</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kandidatens besvarelse er god eller rigtig god</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4"/>
        <w:gridCol w:w="4804"/>
      </w:tblGrid>
      <w:tr w:rsidR="00CE7158" w:rsidRPr="00C56F55" w:rsidTr="002136C9">
        <w:tc>
          <w:tcPr>
            <w:tcW w:w="4889" w:type="dxa"/>
          </w:tcPr>
          <w:p w:rsidR="00CE7158" w:rsidRPr="00C56F55" w:rsidRDefault="00CE7158" w:rsidP="002136C9">
            <w:pPr>
              <w:rPr>
                <w:b/>
              </w:rPr>
            </w:pPr>
            <w:r w:rsidRPr="00C56F55">
              <w:rPr>
                <w:b/>
              </w:rPr>
              <w:t>Karakter for besvarelsen af spørgsmål 1</w:t>
            </w:r>
          </w:p>
        </w:tc>
        <w:tc>
          <w:tcPr>
            <w:tcW w:w="4889" w:type="dxa"/>
          </w:tcPr>
          <w:p w:rsidR="00CE7158" w:rsidRPr="00C56F55" w:rsidRDefault="00CE7158" w:rsidP="002136C9"/>
        </w:tc>
      </w:tr>
      <w:tr w:rsidR="00CE7158" w:rsidRPr="00C56F55" w:rsidTr="002136C9">
        <w:tc>
          <w:tcPr>
            <w:tcW w:w="9778" w:type="dxa"/>
            <w:gridSpan w:val="2"/>
          </w:tcPr>
          <w:p w:rsidR="00CE7158" w:rsidRPr="00C56F55" w:rsidRDefault="00CE7158" w:rsidP="002136C9">
            <w:pPr>
              <w:rPr>
                <w:b/>
              </w:rPr>
            </w:pPr>
            <w:r w:rsidRPr="00C56F55">
              <w:rPr>
                <w:b/>
              </w:rPr>
              <w:lastRenderedPageBreak/>
              <w:t>Begrundelse</w:t>
            </w:r>
          </w:p>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9628"/>
      </w:tblGrid>
      <w:tr w:rsidR="00CE7158" w:rsidRPr="00C56F55" w:rsidTr="002136C9">
        <w:tc>
          <w:tcPr>
            <w:tcW w:w="9778" w:type="dxa"/>
          </w:tcPr>
          <w:p w:rsidR="00CE7158" w:rsidRPr="00C56F55" w:rsidRDefault="00CE7158" w:rsidP="002136C9">
            <w:pPr>
              <w:rPr>
                <w:b/>
              </w:rPr>
            </w:pPr>
            <w:r w:rsidRPr="00C56F55">
              <w:rPr>
                <w:b/>
              </w:rPr>
              <w:t>Spørgsmål 2 (15 %)</w:t>
            </w:r>
          </w:p>
          <w:p w:rsidR="00CE7158" w:rsidRPr="00C56F55" w:rsidRDefault="00CE7158" w:rsidP="002136C9">
            <w:pPr>
              <w:spacing w:after="0"/>
            </w:pPr>
            <w:r w:rsidRPr="00C56F55">
              <w:t xml:space="preserve">Du bedes udarbejde et notat til din chef, hvori du redegør for dine revisionsmæssige overvejelser i relation til anmodningen fra Ragner Gott. </w:t>
            </w:r>
          </w:p>
          <w:p w:rsidR="00CE7158" w:rsidRPr="00C56F55" w:rsidRDefault="00CE7158" w:rsidP="002136C9">
            <w:pPr>
              <w:spacing w:after="0"/>
            </w:pPr>
          </w:p>
          <w:p w:rsidR="00CE7158" w:rsidRPr="00C56F55" w:rsidRDefault="00CE7158" w:rsidP="002136C9">
            <w:pPr>
              <w:spacing w:after="0"/>
            </w:pPr>
            <w:r w:rsidRPr="00C56F55">
              <w:t>Notatet skal indeholde en begrundet stillingtagen til, hvorvidt jeres lagerkontrol vedrørende 2018 kan baseres på Elkædens cykliske optællinger. Dette skal omfatte:</w:t>
            </w:r>
          </w:p>
          <w:p w:rsidR="00CE7158" w:rsidRPr="00C56F55" w:rsidRDefault="00CE7158" w:rsidP="002136C9">
            <w:pPr>
              <w:pStyle w:val="Listeafsnit"/>
              <w:numPr>
                <w:ilvl w:val="0"/>
                <w:numId w:val="8"/>
              </w:numPr>
              <w:spacing w:after="0"/>
            </w:pPr>
            <w:r w:rsidRPr="00C56F55">
              <w:t>En redegørelse for</w:t>
            </w:r>
            <w:r>
              <w:t>,</w:t>
            </w:r>
            <w:r w:rsidRPr="00C56F55">
              <w:t xml:space="preserve"> hvilke forudsætninger som skal være opfyldt, for at dette er muligt, og</w:t>
            </w:r>
          </w:p>
          <w:p w:rsidR="00CE7158" w:rsidRPr="00C56F55" w:rsidRDefault="00CE7158" w:rsidP="002136C9">
            <w:pPr>
              <w:pStyle w:val="Listeafsnit"/>
              <w:numPr>
                <w:ilvl w:val="0"/>
                <w:numId w:val="8"/>
              </w:numPr>
              <w:ind w:left="714" w:hanging="357"/>
            </w:pPr>
            <w:r w:rsidRPr="00C56F55">
              <w:t>En redegørelse for, hvordan jeres kontrol i årets løb af de cykliske optællinger i givet fald skal gennemføres i praksis.</w:t>
            </w:r>
          </w:p>
        </w:tc>
      </w:tr>
    </w:tbl>
    <w:p w:rsidR="00CE7158" w:rsidRPr="00C56F55" w:rsidRDefault="00CE7158" w:rsidP="00CE7158"/>
    <w:tbl>
      <w:tblPr>
        <w:tblStyle w:val="Tabel-Gitter"/>
        <w:tblW w:w="0" w:type="auto"/>
        <w:tblLook w:val="04A0" w:firstRow="1" w:lastRow="0" w:firstColumn="1" w:lastColumn="0" w:noHBand="0" w:noVBand="1"/>
      </w:tblPr>
      <w:tblGrid>
        <w:gridCol w:w="4837"/>
        <w:gridCol w:w="4791"/>
      </w:tblGrid>
      <w:tr w:rsidR="00CE7158" w:rsidRPr="00C56F55" w:rsidTr="002136C9">
        <w:tc>
          <w:tcPr>
            <w:tcW w:w="4889" w:type="dxa"/>
          </w:tcPr>
          <w:p w:rsidR="00CE7158" w:rsidRPr="00C56F55" w:rsidRDefault="00CE7158" w:rsidP="002136C9">
            <w:pPr>
              <w:rPr>
                <w:b/>
              </w:rPr>
            </w:pPr>
            <w:r w:rsidRPr="00C56F55">
              <w:rPr>
                <w:b/>
              </w:rPr>
              <w:t>Centrale regler og fortolkninger</w:t>
            </w:r>
          </w:p>
          <w:p w:rsidR="00CE7158" w:rsidRPr="00C56F55" w:rsidRDefault="00CE7158" w:rsidP="002136C9">
            <w:r w:rsidRPr="00C56F55">
              <w:t>ISA 501.4-5, ISA 330.11-12 og ISA 330.22-23.</w:t>
            </w:r>
          </w:p>
        </w:tc>
        <w:tc>
          <w:tcPr>
            <w:tcW w:w="4889" w:type="dxa"/>
          </w:tcPr>
          <w:p w:rsidR="00CE7158" w:rsidRPr="00C56F55" w:rsidRDefault="00CE7158" w:rsidP="002136C9">
            <w:pPr>
              <w:rPr>
                <w:b/>
              </w:rPr>
            </w:pPr>
          </w:p>
        </w:tc>
      </w:tr>
      <w:tr w:rsidR="00CE7158" w:rsidRPr="00C56F55" w:rsidTr="002136C9">
        <w:tc>
          <w:tcPr>
            <w:tcW w:w="4889" w:type="dxa"/>
          </w:tcPr>
          <w:p w:rsidR="00CE7158" w:rsidRPr="00C56F55" w:rsidRDefault="00CE7158" w:rsidP="002136C9">
            <w:pPr>
              <w:rPr>
                <w:b/>
              </w:rPr>
            </w:pPr>
            <w:r w:rsidRPr="00C56F55">
              <w:rPr>
                <w:b/>
              </w:rPr>
              <w:t>Følgende bør i alt væsentlighed været behandlet tilfredsstillende, for at kandidaten kan bestå (det vil sige minimum karakteren 02)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Notatet er velbegrundet og formuleret i et passende sprog til chefen.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Det kan umiddelbart konkluderes, at varelageret er væsentligt. </w:t>
            </w:r>
          </w:p>
          <w:p w:rsidR="00CE7158" w:rsidRPr="00C56F55" w:rsidRDefault="00CE7158" w:rsidP="002136C9">
            <w:r w:rsidRPr="00C56F55">
              <w:t>Den iboende risiko kan betragtes som normal. Kandidaten kan dog vurdere, at besvigelsesrisikoen i form af tyveri er forhøjet, idet lageret består af forbruger</w:t>
            </w:r>
            <w:r w:rsidRPr="00C56F55">
              <w:softHyphen/>
              <w:t>elektronik m.v.</w:t>
            </w:r>
          </w:p>
          <w:p w:rsidR="00CE7158" w:rsidRPr="00C56F55" w:rsidRDefault="00CE7158" w:rsidP="002136C9">
            <w:r w:rsidRPr="00C56F55">
              <w:t>Optællingsmetoden er ny for Elkæden, hvilket må antages at forøge kontrolrisikoen.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En revision baseret på selskabets cykliske optællinger kan betragtes som en kombination af:</w:t>
            </w:r>
          </w:p>
          <w:p w:rsidR="00CE7158" w:rsidRPr="00C56F55" w:rsidRDefault="00CE7158" w:rsidP="002136C9">
            <w:pPr>
              <w:pStyle w:val="Listeafsnit"/>
              <w:numPr>
                <w:ilvl w:val="0"/>
                <w:numId w:val="6"/>
              </w:numPr>
            </w:pPr>
            <w:r w:rsidRPr="00C56F55">
              <w:t>Test af kontroller, da revisionen fokuserer på selskabets forretningsgange og kontroller i årets løb</w:t>
            </w:r>
            <w:r>
              <w:t>,</w:t>
            </w:r>
            <w:r w:rsidRPr="00C56F55">
              <w:t xml:space="preserve"> og</w:t>
            </w:r>
          </w:p>
          <w:p w:rsidR="00CE7158" w:rsidRPr="00C56F55" w:rsidRDefault="00CE7158" w:rsidP="002136C9">
            <w:pPr>
              <w:pStyle w:val="Listeafsnit"/>
              <w:numPr>
                <w:ilvl w:val="0"/>
                <w:numId w:val="6"/>
              </w:numPr>
            </w:pPr>
            <w:r w:rsidRPr="00C56F55">
              <w:lastRenderedPageBreak/>
              <w:t>Detailtest, da revisionen også omfatter deltagelse i nogle af de fysiske optællinger.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For at vurdere, om revisionen kan baseres på de cykliske optællinger, skal der indledningsvist opnås en forståelse for Elkædens interne forretningsgange og kontroller relateret til de fysiske beholdninger, herunder hvordan optællingerne håndteres i praksis.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Det vil eksempelvis være relevant at opnå en forståelse for følgende:</w:t>
            </w:r>
          </w:p>
          <w:p w:rsidR="00CE7158" w:rsidRPr="00C56F55" w:rsidRDefault="00CE7158" w:rsidP="002136C9">
            <w:pPr>
              <w:pStyle w:val="Listeafsnit"/>
              <w:numPr>
                <w:ilvl w:val="0"/>
                <w:numId w:val="6"/>
              </w:numPr>
            </w:pPr>
            <w:r w:rsidRPr="00C56F55">
              <w:t>Sker der optælling af varer, hvor der ikke har været tilgange i en længere periode?</w:t>
            </w:r>
          </w:p>
          <w:p w:rsidR="00CE7158" w:rsidRPr="00C56F55" w:rsidRDefault="00CE7158" w:rsidP="002136C9">
            <w:pPr>
              <w:pStyle w:val="Listeafsnit"/>
              <w:numPr>
                <w:ilvl w:val="0"/>
                <w:numId w:val="6"/>
              </w:numPr>
            </w:pPr>
            <w:r w:rsidRPr="00C56F55">
              <w:t>Hvordan håndteres optællingsdifferencer? F.eks. genoptælling, undersøgelse af årsagen osv.</w:t>
            </w:r>
          </w:p>
          <w:p w:rsidR="00CE7158" w:rsidRPr="00C56F55" w:rsidRDefault="00CE7158" w:rsidP="002136C9">
            <w:pPr>
              <w:pStyle w:val="Listeafsnit"/>
              <w:numPr>
                <w:ilvl w:val="0"/>
                <w:numId w:val="6"/>
              </w:numPr>
            </w:pPr>
            <w:r w:rsidRPr="00C56F55">
              <w:t>Hvordan sikres det, at optællingsdifferencer registreres i finanssystemet?</w:t>
            </w:r>
          </w:p>
          <w:p w:rsidR="00CE7158" w:rsidRPr="00C56F55" w:rsidRDefault="00CE7158" w:rsidP="002136C9">
            <w:pPr>
              <w:pStyle w:val="Listeafsnit"/>
              <w:numPr>
                <w:ilvl w:val="0"/>
                <w:numId w:val="6"/>
              </w:numPr>
            </w:pPr>
            <w:r w:rsidRPr="00C56F55">
              <w:t>Udføres optællingerne og kontrollerne relateret hertil i hele regnskabsåret?</w:t>
            </w:r>
          </w:p>
          <w:p w:rsidR="00CE7158" w:rsidRPr="00C56F55" w:rsidRDefault="00CE7158" w:rsidP="002136C9">
            <w:pPr>
              <w:pStyle w:val="Listeafsnit"/>
              <w:numPr>
                <w:ilvl w:val="0"/>
                <w:numId w:val="6"/>
              </w:numPr>
            </w:pPr>
            <w:r w:rsidRPr="00C56F55">
              <w:t xml:space="preserve">Overvåger ledelsen forretningsgangen for cykliske optællinger, herunder hyppigheden og omfanget af optællingsdifferencer? </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For at kunne basere lagerrevisionen på Elkædens cykliske optællinger er det en forudsætning, at ovenstående fungerer tilfredsstillende, og at de cykliske optællinger i al væsentlighed sikrer en lige så pålidelig opgørelse af mængderne pr. balance</w:t>
            </w:r>
            <w:r w:rsidRPr="00C56F55">
              <w:softHyphen/>
              <w:t>dagen, som hvis der i stedet var blevet udført en traditionel lageroptælling og –kontrol tæt på balancedagen.</w:t>
            </w:r>
          </w:p>
          <w:p w:rsidR="00CE7158" w:rsidRPr="00C56F55" w:rsidRDefault="00CE7158" w:rsidP="002136C9">
            <w:r w:rsidRPr="00C56F55">
              <w:t>Det er desuden en forudsætning, at revisions</w:t>
            </w:r>
            <w:r w:rsidRPr="00C56F55">
              <w:softHyphen/>
              <w:t>teamets stikprøvetest af de cykliske optællinger i årets løb ikke medfører så væsentlige afvigelser, at testen forkastes.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Kontroltesten skal som minimum omfatte:</w:t>
            </w:r>
          </w:p>
          <w:p w:rsidR="00CE7158" w:rsidRPr="00C56F55" w:rsidRDefault="00CE7158" w:rsidP="002136C9">
            <w:pPr>
              <w:pStyle w:val="Listeafsnit"/>
              <w:numPr>
                <w:ilvl w:val="0"/>
                <w:numId w:val="6"/>
              </w:numPr>
            </w:pPr>
            <w:r w:rsidRPr="00C56F55">
              <w:lastRenderedPageBreak/>
              <w:t>Stikprøvetest af, at der i forbindelse med tilgange sker optælling af hele det pågældende varenummer</w:t>
            </w:r>
          </w:p>
          <w:p w:rsidR="00CE7158" w:rsidRPr="00C56F55" w:rsidRDefault="00CE7158" w:rsidP="002136C9">
            <w:pPr>
              <w:pStyle w:val="Listeafsnit"/>
              <w:numPr>
                <w:ilvl w:val="0"/>
                <w:numId w:val="6"/>
              </w:numPr>
            </w:pPr>
            <w:r w:rsidRPr="00C56F55">
              <w:t>Stikprøvetest af, at optællingsdifferencer registreres i finanssystemet</w:t>
            </w:r>
          </w:p>
          <w:p w:rsidR="00CE7158" w:rsidRPr="00C56F55" w:rsidRDefault="00CE7158" w:rsidP="002136C9">
            <w:pPr>
              <w:pStyle w:val="Listeafsnit"/>
              <w:numPr>
                <w:ilvl w:val="0"/>
                <w:numId w:val="6"/>
              </w:numPr>
            </w:pPr>
            <w:r w:rsidRPr="00C56F55">
              <w:t>Kontrol af, at alle varer optælles mindst én gang om året</w:t>
            </w:r>
            <w:r>
              <w:t>,</w:t>
            </w:r>
            <w:r w:rsidRPr="00C56F55">
              <w:t xml:space="preserve"> uanset om der har været tilgange (medmindre lagerværdien heraf er ubetydelig).</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Detailtesten skal som minimum omfatte:</w:t>
            </w:r>
          </w:p>
          <w:p w:rsidR="00CE7158" w:rsidRPr="00C56F55" w:rsidRDefault="00CE7158" w:rsidP="002136C9">
            <w:pPr>
              <w:pStyle w:val="Listeafsnit"/>
              <w:numPr>
                <w:ilvl w:val="0"/>
                <w:numId w:val="6"/>
              </w:numPr>
            </w:pPr>
            <w:r w:rsidRPr="00C56F55">
              <w:t>Stikprøvevis observation/eftertælling af de cykliske optællinger.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Der skal tages stilling til, hvor mange gange i årets løb ovenstående tests skal udføres.</w:t>
            </w:r>
          </w:p>
          <w:p w:rsidR="00CE7158" w:rsidRPr="00C56F55" w:rsidRDefault="00CE7158" w:rsidP="002136C9">
            <w:r w:rsidRPr="00C56F55">
              <w:t>Hvis kandidaten kun vil foretage observation/efter</w:t>
            </w:r>
            <w:r w:rsidRPr="00C56F55">
              <w:softHyphen/>
              <w:t>tælling én gang i årets løb, skal der argumenteres meget overbevisende herfor.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t>Både ved test af kontroller og detailtest, som udføres inden regnskabsårets udløb, skal der foretages revisionshandlinger vedrørende den resterende periode af regnskabsåret.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 er bestået eller ikke-bestået</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39"/>
        <w:gridCol w:w="4789"/>
      </w:tblGrid>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 er over bestået (det vil sige minimum karakteren 4-7)</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Forholder sig konkret til oplysningerne om hyppigheden af indkøb/antal optællinger og gør i et vist omfang brug heraf i besvarelsen, f.eks. ved at omregne procenterne i skemaet til lagerværdier og sammenholde disse med et fastlagt væsentligheds</w:t>
            </w:r>
            <w:r w:rsidRPr="00C56F55">
              <w:softHyphen/>
              <w:t>niveau ved udførelsen.</w:t>
            </w:r>
          </w:p>
          <w:p w:rsidR="00CE7158" w:rsidRPr="00C56F55" w:rsidRDefault="00CE7158" w:rsidP="002136C9">
            <w:r w:rsidRPr="00C56F55">
              <w:t>Herved fremgår det, at en lagerværdi på cirka DKK 1,5 mio. (5 % af lagerværdien for 2017 på i alt TDKK 30.452) kun tælles én gang om året eller slet ikke.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lastRenderedPageBreak/>
              <w:t>Omtaler, at kandidaten er nyvalgt revisor og derfor ikke har erfaring med Elkædens kontrolmiljø.</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én af observationerne/eftertællingerne bør udføres sidst på året, f.eks. i slutningen af november.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Overvejer, hvorvidt der skal foretages en traditionel lagerkontrol af udvalgte varer (f.eks. de dyreste) umiddelbart inden regnskabsårets udløb.</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Undersøger graden af IT-anvendelse og overvejer</w:t>
            </w:r>
            <w:r>
              <w:t>,</w:t>
            </w:r>
            <w:r w:rsidRPr="00C56F55">
              <w:t xml:space="preserve"> i hvilket omfang der skal foretages test heraf i årets løb.</w:t>
            </w:r>
          </w:p>
          <w:p w:rsidR="00CE7158" w:rsidRPr="00C56F55" w:rsidRDefault="00CE7158" w:rsidP="002136C9">
            <w:r w:rsidRPr="00C56F55">
              <w:t>Kandidaten er nyvalgt revisor og har derfor ikke tidligere opnået overbevisning om lagersystemet og de generelle IT-kontroller.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forretningsgange og revisionshandlinger, som kan sikre korrekt periodisering af til- og afgange ved regnskabsårets udløb, da dette formodentlig ikke sikres via de cykliske optællinger.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Øvrige forhold, som får notatet til at fremstå mere målrettet.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 er over bestået</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0"/>
        <w:gridCol w:w="4808"/>
      </w:tblGrid>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kandidatens besvarelse er god eller rigtig god (det vil sige karakteren 10-12)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Omtaler, at det som alternativ til kontrol i årets løb af de cykliske optællinger kan overvejes at foretage en traditionel lagerkontrol ultimo november, men uden at dette kræver, at Elkæden har foretaget en total optælling på dette tidspunkt.</w:t>
            </w:r>
          </w:p>
          <w:p w:rsidR="00CE7158" w:rsidRPr="00C56F55" w:rsidRDefault="00CE7158" w:rsidP="002136C9">
            <w:r w:rsidRPr="00C56F55">
              <w:t xml:space="preserve">Ovenstående forudsætter også velfungerende kontroller omkring lageret, og at der udføres revisionshandlinger, som dækker bevægelserne i december måned, men dette kan måske være </w:t>
            </w:r>
            <w:r w:rsidRPr="00C56F55">
              <w:lastRenderedPageBreak/>
              <w:t>mere effektivt end kontrol i årets løb af de cykliske optællinger.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Er opmærksom på, at Elkædens højsæson ligger omkring regnskabsårets udløb. </w:t>
            </w:r>
          </w:p>
          <w:p w:rsidR="00CE7158" w:rsidRPr="00C56F55" w:rsidRDefault="00CE7158" w:rsidP="002136C9">
            <w:r w:rsidRPr="00C56F55">
              <w:t>Dette kan på den ene side forøge risikoen for fejl, dels pga. travlhed og dels pga. et større antal bevægelser på lageret.</w:t>
            </w:r>
          </w:p>
          <w:p w:rsidR="00CE7158" w:rsidRPr="00C56F55" w:rsidRDefault="00CE7158" w:rsidP="002136C9">
            <w:r w:rsidRPr="00C56F55">
              <w:t>På den anden side kan højsæsonen medføre, at der op til regnskabsårets udløb er et større antal indkøb og dermed også et større omfang af de cykliske optællinger end normalt.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Er opmærksom på, at 0-1 årlige indkøb af nogle af varerne kan indikere svær omsættelighed og dermed et nedskrivningsbehov.</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Gør Ragner Gott opmærksom på, at en kontrol af de cykliske optællinger alt andet lige må forventes at være mere tidskrævende for revisor end en traditionel lagerkontrol.</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Ingen nævneværdige, faglige fejl eller fejl vedrørende formulering og disponering. </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kandidatens besvarelse er god eller rigtig god</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4"/>
        <w:gridCol w:w="4804"/>
      </w:tblGrid>
      <w:tr w:rsidR="00CE7158" w:rsidRPr="00C56F55" w:rsidTr="002136C9">
        <w:tc>
          <w:tcPr>
            <w:tcW w:w="4889" w:type="dxa"/>
          </w:tcPr>
          <w:p w:rsidR="00CE7158" w:rsidRPr="00C56F55" w:rsidRDefault="00CE7158" w:rsidP="002136C9">
            <w:pPr>
              <w:rPr>
                <w:b/>
              </w:rPr>
            </w:pPr>
            <w:r w:rsidRPr="00C56F55">
              <w:rPr>
                <w:b/>
              </w:rPr>
              <w:t>Karakter for besvarelsen af spørgsmål 2</w:t>
            </w:r>
          </w:p>
        </w:tc>
        <w:tc>
          <w:tcPr>
            <w:tcW w:w="4889" w:type="dxa"/>
          </w:tcPr>
          <w:p w:rsidR="00CE7158" w:rsidRPr="00C56F55" w:rsidRDefault="00CE7158" w:rsidP="002136C9"/>
        </w:tc>
      </w:tr>
      <w:tr w:rsidR="00CE7158" w:rsidRPr="00C56F55" w:rsidTr="002136C9">
        <w:tc>
          <w:tcPr>
            <w:tcW w:w="9778" w:type="dxa"/>
            <w:gridSpan w:val="2"/>
          </w:tcPr>
          <w:p w:rsidR="00CE7158" w:rsidRPr="00C56F55" w:rsidRDefault="00CE7158" w:rsidP="002136C9">
            <w:pPr>
              <w:rPr>
                <w:b/>
              </w:rPr>
            </w:pPr>
            <w:r w:rsidRPr="00C56F55">
              <w:rPr>
                <w:b/>
              </w:rPr>
              <w:t>Begrundelse</w:t>
            </w:r>
          </w:p>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9628"/>
      </w:tblGrid>
      <w:tr w:rsidR="00CE7158" w:rsidRPr="00C56F55" w:rsidTr="002136C9">
        <w:tc>
          <w:tcPr>
            <w:tcW w:w="9778" w:type="dxa"/>
          </w:tcPr>
          <w:p w:rsidR="00CE7158" w:rsidRPr="00C56F55" w:rsidRDefault="00CE7158" w:rsidP="002136C9">
            <w:pPr>
              <w:rPr>
                <w:b/>
              </w:rPr>
            </w:pPr>
            <w:r w:rsidRPr="00C56F55">
              <w:rPr>
                <w:b/>
              </w:rPr>
              <w:t>Spørgsmål 3 (20 %)</w:t>
            </w:r>
          </w:p>
          <w:p w:rsidR="00CE7158" w:rsidRPr="00C56F55" w:rsidRDefault="00CE7158" w:rsidP="002136C9">
            <w:r w:rsidRPr="00C56F55">
              <w:t>Du bedes udarbejde en e-mail til din medarbejder, Christina, hvori du redegør for den regnskabsmæssige behandling af de omkostninger, som er omtalt under punkt 1-3 ovenfor, således at Christina bliver i stand til at give Ragner et mundtligt svar.</w:t>
            </w:r>
          </w:p>
        </w:tc>
      </w:tr>
    </w:tbl>
    <w:p w:rsidR="00CE7158" w:rsidRPr="00C56F55" w:rsidRDefault="00CE7158" w:rsidP="00CE7158"/>
    <w:tbl>
      <w:tblPr>
        <w:tblStyle w:val="Tabel-Gitter"/>
        <w:tblW w:w="0" w:type="auto"/>
        <w:tblLook w:val="04A0" w:firstRow="1" w:lastRow="0" w:firstColumn="1" w:lastColumn="0" w:noHBand="0" w:noVBand="1"/>
      </w:tblPr>
      <w:tblGrid>
        <w:gridCol w:w="4826"/>
        <w:gridCol w:w="4802"/>
      </w:tblGrid>
      <w:tr w:rsidR="00CE7158" w:rsidRPr="00C56F55" w:rsidTr="002136C9">
        <w:tc>
          <w:tcPr>
            <w:tcW w:w="4889" w:type="dxa"/>
          </w:tcPr>
          <w:p w:rsidR="00CE7158" w:rsidRPr="00C56F55" w:rsidRDefault="00CE7158" w:rsidP="002136C9">
            <w:pPr>
              <w:rPr>
                <w:b/>
              </w:rPr>
            </w:pPr>
            <w:r w:rsidRPr="00C56F55">
              <w:rPr>
                <w:b/>
              </w:rPr>
              <w:lastRenderedPageBreak/>
              <w:t>Centrale regler og fortolkninger</w:t>
            </w:r>
          </w:p>
          <w:p w:rsidR="00CE7158" w:rsidRPr="00C56F55" w:rsidRDefault="00CE7158" w:rsidP="002136C9">
            <w:r w:rsidRPr="00C56F55">
              <w:t>ÅRL §§ 33, 43, 83 og 88 a.</w:t>
            </w:r>
          </w:p>
          <w:p w:rsidR="00CE7158" w:rsidRPr="00C56F55" w:rsidRDefault="00CE7158" w:rsidP="002136C9">
            <w:r w:rsidRPr="00C56F55">
              <w:t>IAS 38 og SIC-32.</w:t>
            </w:r>
          </w:p>
        </w:tc>
        <w:tc>
          <w:tcPr>
            <w:tcW w:w="4889" w:type="dxa"/>
          </w:tcPr>
          <w:p w:rsidR="00CE7158" w:rsidRPr="00C56F55" w:rsidRDefault="00CE7158" w:rsidP="002136C9">
            <w:pPr>
              <w:rPr>
                <w:b/>
              </w:rPr>
            </w:pPr>
          </w:p>
        </w:tc>
      </w:tr>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 kan bestå (det vil sige minimum karakteren 02)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E-mailen er formuleret i et passende sprog til en revisormedarbejder, der er cand.merc.aud. Notatet kan indeholde fagtermer og henvisninger til de relevante regler og fortolkninger.</w:t>
            </w:r>
          </w:p>
          <w:p w:rsidR="00CE7158" w:rsidRPr="00C56F55" w:rsidRDefault="00CE7158" w:rsidP="002136C9">
            <w:r w:rsidRPr="00C56F55">
              <w:t>Eftersom Ragner Gott selv har spurgt om den regnskabsmæssige behandling, kan kandidaten ikke undlade at behandle nogle af forholdene med henvisning til, at beløbene vurderes uvæsentlige for årsregnskabet.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Det centrale fortolkningbidrag til besvarelse af punkt 1 og 2 er SIC-32: ”</w:t>
            </w:r>
            <w:r w:rsidRPr="00C56F55">
              <w:rPr>
                <w:i/>
              </w:rPr>
              <w:t>Immaterielle aktiver – omkostninger ved udvikling af websider</w:t>
            </w:r>
            <w:r w:rsidRPr="00C56F55">
              <w:t>” som supplement til IAS 38.</w:t>
            </w:r>
          </w:p>
          <w:p w:rsidR="00CE7158" w:rsidRPr="00C56F55" w:rsidRDefault="00CE7158" w:rsidP="002136C9">
            <w:r w:rsidRPr="00C56F55">
              <w:t>Det er imidlertid ikke afgørende for at kunne bestå, om kandidaten udviser kendskab til SIC-32 eller i stedet besvarer spørgsmålet ud fra mere generelle regler og fortolkninger, herunder IAS 38.</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1) IT-opgraderingen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Der er tale om et internt oparbejdet immaterielt aktiv. </w:t>
            </w:r>
          </w:p>
          <w:p w:rsidR="00CE7158" w:rsidRPr="00C56F55" w:rsidRDefault="00CE7158" w:rsidP="002136C9">
            <w:r w:rsidRPr="00C56F55">
              <w:t>Det er ikke afgørende, om udviklingen er sket af Elkædens egne medarbejdere eller af IT-leverandøren, når blot udviklingen er sket på Elkædens vegne og risiko.</w:t>
            </w:r>
          </w:p>
        </w:tc>
        <w:tc>
          <w:tcPr>
            <w:tcW w:w="4889" w:type="dxa"/>
          </w:tcPr>
          <w:p w:rsidR="00CE7158" w:rsidRPr="00C56F55" w:rsidRDefault="00CE7158" w:rsidP="002136C9"/>
        </w:tc>
      </w:tr>
      <w:tr w:rsidR="00CE7158" w:rsidRPr="00C56F55" w:rsidTr="002136C9">
        <w:tc>
          <w:tcPr>
            <w:tcW w:w="4889" w:type="dxa"/>
          </w:tcPr>
          <w:p w:rsidR="00CE7158" w:rsidRPr="00B957B9" w:rsidRDefault="00CE7158" w:rsidP="002136C9">
            <w:pPr>
              <w:rPr>
                <w:rFonts w:cstheme="minorHAnsi"/>
              </w:rPr>
            </w:pPr>
            <w:r w:rsidRPr="00B957B9">
              <w:t xml:space="preserve">Kandidaten skal forholde sig til enten de generelle </w:t>
            </w:r>
            <w:r w:rsidRPr="00B957B9">
              <w:rPr>
                <w:rFonts w:cstheme="minorHAnsi"/>
              </w:rPr>
              <w:t>indregnings</w:t>
            </w:r>
            <w:r w:rsidRPr="00B957B9">
              <w:rPr>
                <w:rFonts w:cstheme="minorHAnsi"/>
              </w:rPr>
              <w:softHyphen/>
              <w:t>kriterier i ÅRL § 33 eller indregnings</w:t>
            </w:r>
            <w:r w:rsidRPr="00B957B9">
              <w:rPr>
                <w:rFonts w:cstheme="minorHAnsi"/>
              </w:rPr>
              <w:softHyphen/>
              <w:t xml:space="preserve">kriterierne for immaterielle aktiver i IAS 38.21: </w:t>
            </w:r>
          </w:p>
          <w:p w:rsidR="00CE7158" w:rsidRPr="00B957B9" w:rsidRDefault="00CE7158" w:rsidP="002136C9">
            <w:pPr>
              <w:spacing w:after="120"/>
              <w:rPr>
                <w:rFonts w:cstheme="minorHAnsi"/>
                <w:i/>
                <w:sz w:val="19"/>
                <w:szCs w:val="19"/>
              </w:rPr>
            </w:pPr>
            <w:r w:rsidRPr="00B957B9">
              <w:rPr>
                <w:rFonts w:cstheme="minorHAnsi"/>
              </w:rPr>
              <w:t>”</w:t>
            </w:r>
            <w:r w:rsidRPr="00B957B9">
              <w:rPr>
                <w:rFonts w:cstheme="minorHAnsi"/>
                <w:i/>
                <w:sz w:val="19"/>
                <w:szCs w:val="19"/>
              </w:rPr>
              <w:t>Et immaterielt aktiv skal udelukkende indregnes, hvis:</w:t>
            </w:r>
          </w:p>
          <w:p w:rsidR="00CE7158" w:rsidRPr="00B957B9" w:rsidRDefault="00CE7158" w:rsidP="002136C9">
            <w:pPr>
              <w:spacing w:after="120"/>
              <w:rPr>
                <w:rFonts w:cstheme="minorHAnsi"/>
                <w:i/>
                <w:sz w:val="19"/>
                <w:szCs w:val="19"/>
              </w:rPr>
            </w:pPr>
            <w:r w:rsidRPr="00B957B9">
              <w:rPr>
                <w:rFonts w:cstheme="minorHAnsi"/>
                <w:i/>
                <w:sz w:val="19"/>
                <w:szCs w:val="19"/>
              </w:rPr>
              <w:lastRenderedPageBreak/>
              <w:t>a) det er sandsynligt, at de forventede fremtidige økonomiske fordele, som kan henføres til aktivet, vil tilgå virksomheden, og</w:t>
            </w:r>
          </w:p>
          <w:p w:rsidR="00CE7158" w:rsidRPr="00C56F55" w:rsidRDefault="00CE7158" w:rsidP="002136C9">
            <w:pPr>
              <w:spacing w:after="120"/>
              <w:rPr>
                <w:rFonts w:cstheme="minorHAnsi"/>
              </w:rPr>
            </w:pPr>
            <w:r w:rsidRPr="00B957B9">
              <w:rPr>
                <w:rFonts w:cstheme="minorHAnsi"/>
                <w:i/>
                <w:sz w:val="19"/>
                <w:szCs w:val="19"/>
              </w:rPr>
              <w:t>b) aktivets kostpris kan måles pålideligt”</w:t>
            </w:r>
            <w:r w:rsidRPr="00B957B9">
              <w:rPr>
                <w:rFonts w:cstheme="minorHAnsi"/>
                <w:sz w:val="19"/>
                <w:szCs w:val="19"/>
              </w:rPr>
              <w: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Et udviklingsprojekt kan udelukkende indregnes, hvis virksomheden kan dokumentere en række forhold. Henset til, at IT-projektet kan anses for afsluttet, må følgende betingelser i IAS 38.57 anses for at være de mest centrale at kunne dokumentere:</w:t>
            </w:r>
          </w:p>
          <w:p w:rsidR="00CE7158" w:rsidRPr="00C56F55" w:rsidRDefault="00CE7158" w:rsidP="002136C9">
            <w:r w:rsidRPr="00C56F55">
              <w:t xml:space="preserve">d) hvordan det immaterielle aktiv vil frembringe sandsynlige fremtidige økonomiske fordele. </w:t>
            </w:r>
          </w:p>
          <w:p w:rsidR="00CE7158" w:rsidRPr="00C56F55" w:rsidRDefault="00CE7158" w:rsidP="002136C9">
            <w:r w:rsidRPr="00C56F55">
              <w:t>f) virksomhedens evne til pålideligt at måle de omkostninger, der kan henføres til det immaterielle aktiv i løbet af dets udvikling.</w:t>
            </w:r>
          </w:p>
          <w:p w:rsidR="00CE7158" w:rsidRPr="00C56F55" w:rsidRDefault="00CE7158" w:rsidP="002136C9">
            <w:r w:rsidRPr="00C56F55">
              <w:t>Kandidaten forventes at forholde sig konkret til disse kriterier.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spacing w:after="120"/>
            </w:pPr>
            <w:r w:rsidRPr="00C56F55">
              <w:t>Kandidaten kan med rimelighed vælge at forudsætte, at indregningskriterierne er opfyldt for de omkostninger, der er betalt til IT-leverandøren.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For så vidt angår de interne lønomkostninger, er det derimod mere tvivlsomt, om alle indregnings</w:t>
            </w:r>
            <w:r w:rsidRPr="00C56F55">
              <w:softHyphen/>
              <w:t>kriterierne er opfyldt. Det fremgår af opgave</w:t>
            </w:r>
            <w:r w:rsidRPr="00C56F55">
              <w:softHyphen/>
              <w:t>teksten, at der er tale om et skøn over de interne omkostninger, hvilket indikerer manglende tidsregistrering og dermed manglende pålidelighed.</w:t>
            </w:r>
          </w:p>
          <w:p w:rsidR="00CE7158" w:rsidRPr="00C56F55" w:rsidRDefault="00CE7158" w:rsidP="002136C9">
            <w:r w:rsidRPr="00C56F55">
              <w:t>Kandidaten bør derfor opfordre Christina til at indhente yderligere oplysninger herom fra Ragner Gott.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Et udviklingsprojekt skal måles til kostpris med fradrag af af- og nedskrivninger. </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Et beløb svarende til de indregnede udviklings</w:t>
            </w:r>
            <w:r w:rsidRPr="00C56F55">
              <w:softHyphen/>
              <w:t>omkostninger fratrukket udskudt skat heraf skal bindes på egenkapitalen på en ”Reserve for udviklingsomkostninger”.</w:t>
            </w:r>
          </w:p>
          <w:p w:rsidR="00CE7158" w:rsidRPr="00C56F55" w:rsidRDefault="00CE7158" w:rsidP="002136C9">
            <w:r w:rsidRPr="00C56F55">
              <w:t>Reserven skal reduceres som følge af afskrivninger.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lastRenderedPageBreak/>
              <w:t>Der skal oplyses om de særlige forudsætninger, som ligger til grund for indregning og måling af udviklingsprojekter.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Behandlingen af udviklingsprojekter skal omtales i anvendt regnskabspraksis.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2) Fotografering</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Der er tale om omkostninger til at fremme og markedsføre virksomhedens produkter. Dette kan ikke betragtes som et udviklingsprojekt og skal derfor indregnes i resultatopgørelsen i takt med, at ydelserne modtages. Dette fremgår både af SIC-32.9c og af IAS 38.69, som passende kan anvendes som fortolkningsbidrag til ÅRL.</w:t>
            </w:r>
          </w:p>
          <w:p w:rsidR="00CE7158" w:rsidRPr="00C56F55" w:rsidRDefault="00CE7158" w:rsidP="002136C9">
            <w:r w:rsidRPr="00C56F55">
              <w:t>Ovenstående gælder både de eksterne og de interne omkostninger.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3) Aftale med IT Rocks A/S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Der er tale om en serviceaftale og ikke en leasing</w:t>
            </w:r>
            <w:r w:rsidRPr="00C56F55">
              <w:softHyphen/>
              <w:t>aftale, idet der ikke stilles et konkret aktiv til rådig</w:t>
            </w:r>
            <w:r w:rsidRPr="00C56F55">
              <w:softHyphen/>
              <w:t>hed for Elkæden, som Elkæden har brugsretten til.</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Omkostninger til en serviceaftale skal indregnes i resultatopgørelsen over serviceaftalens løbetid.</w:t>
            </w:r>
          </w:p>
          <w:p w:rsidR="00CE7158" w:rsidRPr="00C56F55" w:rsidRDefault="00CE7158" w:rsidP="002136C9">
            <w:r w:rsidRPr="00C56F55">
              <w:t>Idet aftalen omfatter en ensartet serviceydelse over hele løbetiden, skal omkostningerne indregnes lineært over aftaleperioden på tre år.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Betalingerne af hver af de ordinære ydelser på TDKK 250 dækker serviceydelsen for det pågældende regnskabsår. Der er derfor ikke behov for periodisering heraf i årsregnskabet.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Engangsbeløbet på TDKK 300 dækker ikke en særskilt serviceydelse</w:t>
            </w:r>
            <w:r>
              <w:t>,</w:t>
            </w:r>
            <w:r w:rsidRPr="00C56F55">
              <w:t xml:space="preserve"> men er en del af den samlede aftale. Beløbet skal derfor periodiseres over tre år med TDKK 100 pr. år.</w:t>
            </w:r>
          </w:p>
          <w:p w:rsidR="00CE7158" w:rsidRPr="00C56F55" w:rsidRDefault="00CE7158" w:rsidP="002136C9">
            <w:r w:rsidRPr="00C56F55">
              <w:t>Den årlige driftspåvirkning fra den indgåede serviceaftale bliver dermed TDKK 350 før skat.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lastRenderedPageBreak/>
              <w:t xml:space="preserve">Muligheden for forlængelse af aftalen er uden betydning for den regnskabsmæssige behandling, da prisen – også ved en eventuel forlængelse – må forventes at være på markedsvilkår. </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 er bestået eller ikke-bestået</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7"/>
        <w:gridCol w:w="4801"/>
      </w:tblGrid>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 er over bestået (det vil sige minimum karakteren 4-7)</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Omtaler, at reglerne om indregning af udviklings</w:t>
            </w:r>
            <w:r w:rsidRPr="00C56F55">
              <w:softHyphen/>
              <w:t>projekter i balancen er et tilvalg af regler fra en højere regnskabsklasse (regnskabsklasse C for store virksomheder). Dette skal ske systematisk og konsekvent og skal oplyses i anvendt regnskabs</w:t>
            </w:r>
            <w:r w:rsidRPr="00C56F55">
              <w:softHyphen/>
              <w:t>praksis.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de enkelte elementer af hjemmeside-opgraderingen ifølge opgaveteksten sammenholdt med reglerne om indregning af udviklingsprojekter.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reglerne om afskrivningsperioder for udviklingsprojekter.</w:t>
            </w:r>
          </w:p>
          <w:p w:rsidR="00CE7158" w:rsidRPr="00C56F55" w:rsidRDefault="00CE7158" w:rsidP="002136C9">
            <w:r w:rsidRPr="00C56F55">
              <w:t>Det fremgår af ÅRL § 43, at: ”</w:t>
            </w:r>
            <w:r w:rsidRPr="00C56F55">
              <w:rPr>
                <w:i/>
              </w:rPr>
              <w:t>I særlige tilfælde, hvor en virksomhed ikke er i stand til pålideligt at skønne over brugstiden for udviklingsomkostninger, skal denne antages at være 10 år</w:t>
            </w:r>
            <w:r w:rsidRPr="00C56F55">
              <w:t xml:space="preserve">”. </w:t>
            </w:r>
          </w:p>
          <w:p w:rsidR="00CE7158" w:rsidRPr="00C56F55" w:rsidRDefault="00CE7158" w:rsidP="002136C9">
            <w:r w:rsidRPr="00C56F55">
              <w:t>Det fremgår imidlertid af SIC-32.10, at ”</w:t>
            </w:r>
            <w:r w:rsidRPr="00C56F55">
              <w:rPr>
                <w:i/>
              </w:rPr>
              <w:t>Det bedste skøn over websidens brugstid skal være kort</w:t>
            </w:r>
            <w:r w:rsidRPr="00C56F55">
              <w:t>”.</w:t>
            </w:r>
          </w:p>
          <w:p w:rsidR="00CE7158" w:rsidRPr="00C56F55" w:rsidRDefault="00CE7158" w:rsidP="002136C9">
            <w:r w:rsidRPr="00C56F55">
              <w:t>Uanset kendskabet til SIC-32 må det forventes, at afskrivningsperioden fastsættes til mindre end 10 år, men kandidaten må ikke fastsætte afskrivnings</w:t>
            </w:r>
            <w:r w:rsidRPr="00C56F55">
              <w:softHyphen/>
              <w:t>perioden på vegne af ledelsen.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såfremt lønomkostningerne indregnes i udviklingsprojektet, skal disse lønomkostninger ikke fragå regnskabsposten ”</w:t>
            </w:r>
            <w:r w:rsidRPr="00C56F55">
              <w:rPr>
                <w:i/>
              </w:rPr>
              <w:t>Personaleomkostninger</w:t>
            </w:r>
            <w:r w:rsidRPr="00C56F55">
              <w:t>”</w:t>
            </w:r>
            <w:r>
              <w:t>,</w:t>
            </w:r>
            <w:r w:rsidRPr="00C56F55">
              <w:t xml:space="preserve"> men i stede</w:t>
            </w:r>
            <w:r>
              <w:t>t</w:t>
            </w:r>
            <w:r w:rsidRPr="00C56F55">
              <w:t xml:space="preserve"> </w:t>
            </w:r>
            <w:r w:rsidRPr="00C56F55">
              <w:lastRenderedPageBreak/>
              <w:t>modposteres på regnskabsposten ”</w:t>
            </w:r>
            <w:r w:rsidRPr="00C56F55">
              <w:rPr>
                <w:i/>
              </w:rPr>
              <w:t>Arbejde udført for egen regning og opført under aktiver</w:t>
            </w:r>
            <w:r w:rsidRPr="00C56F55">
              <w: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Er opmærksom på, at udviklingsaktiviteter skal omtales i ledelsesberetningen.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Øvrige forhold, som får notatet til at fremstå mere målrettet.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 er over bestået</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19"/>
        <w:gridCol w:w="4809"/>
      </w:tblGrid>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kandidatens besvarelse er god eller rigtig god (det vil sige karakteren 10-12)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Udviser kendskab til SIC-32.</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Gør Ragner Gott opmærksom på, at et tilvalg af reglerne om indregning af udviklingsprojekter er et praksisvalg, som derfor også skal følges konsekvent ved eventuelle fremtidige udviklingsprojekter.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Er opmærksom på, at Ragner Gotts ønske om at indregne omkostningerne som aktiver i balancen kan være udtryk for et generelt ønske om at forbedre årets resultat, hvilket kræver et øget fokus herpå igennem hele revisionen.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en eventuel tilbagediskontering af betalingerne i henhold til aftalen med IT Rock</w:t>
            </w:r>
            <w:r>
              <w:t>s</w:t>
            </w:r>
            <w:r w:rsidRPr="00C56F55">
              <w:t xml:space="preserve"> A/S, herunder tilbagediskontering af muligheden for forlængelse til samme pris.</w:t>
            </w:r>
          </w:p>
          <w:p w:rsidR="00CE7158" w:rsidRPr="00C56F55" w:rsidRDefault="00CE7158" w:rsidP="002136C9">
            <w:r w:rsidRPr="00C56F55">
              <w:t>En tilbagediskontering må anses for ubetydelig.</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Ingen nævneværdige, faglige fejl eller fejl vedrørende formulering og disponering. </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kandidatens besvarelse er god eller rigtig god</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4"/>
        <w:gridCol w:w="4804"/>
      </w:tblGrid>
      <w:tr w:rsidR="00CE7158" w:rsidRPr="00C56F55" w:rsidTr="002136C9">
        <w:tc>
          <w:tcPr>
            <w:tcW w:w="4889" w:type="dxa"/>
          </w:tcPr>
          <w:p w:rsidR="00CE7158" w:rsidRPr="00C56F55" w:rsidRDefault="00CE7158" w:rsidP="002136C9">
            <w:pPr>
              <w:rPr>
                <w:b/>
              </w:rPr>
            </w:pPr>
            <w:r w:rsidRPr="00C56F55">
              <w:rPr>
                <w:b/>
              </w:rPr>
              <w:t>Karakter for besvarelsen af spørgsmål 3</w:t>
            </w:r>
          </w:p>
        </w:tc>
        <w:tc>
          <w:tcPr>
            <w:tcW w:w="4889" w:type="dxa"/>
          </w:tcPr>
          <w:p w:rsidR="00CE7158" w:rsidRPr="00C56F55" w:rsidRDefault="00CE7158" w:rsidP="002136C9"/>
        </w:tc>
      </w:tr>
      <w:tr w:rsidR="00CE7158" w:rsidRPr="00C56F55" w:rsidTr="002136C9">
        <w:tc>
          <w:tcPr>
            <w:tcW w:w="9778" w:type="dxa"/>
            <w:gridSpan w:val="2"/>
          </w:tcPr>
          <w:p w:rsidR="00CE7158" w:rsidRPr="00C56F55" w:rsidRDefault="00CE7158" w:rsidP="002136C9">
            <w:pPr>
              <w:rPr>
                <w:b/>
              </w:rPr>
            </w:pPr>
            <w:r w:rsidRPr="00C56F55">
              <w:rPr>
                <w:b/>
              </w:rPr>
              <w:lastRenderedPageBreak/>
              <w:t>Begrundelse</w:t>
            </w:r>
          </w:p>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9628"/>
      </w:tblGrid>
      <w:tr w:rsidR="00CE7158" w:rsidRPr="00C56F55" w:rsidTr="002136C9">
        <w:tc>
          <w:tcPr>
            <w:tcW w:w="9778" w:type="dxa"/>
          </w:tcPr>
          <w:p w:rsidR="00CE7158" w:rsidRPr="00C56F55" w:rsidRDefault="00CE7158" w:rsidP="002136C9">
            <w:pPr>
              <w:rPr>
                <w:b/>
              </w:rPr>
            </w:pPr>
            <w:r w:rsidRPr="00C56F55">
              <w:rPr>
                <w:b/>
              </w:rPr>
              <w:t>Spørgsmål 4 (35 %)</w:t>
            </w:r>
          </w:p>
          <w:p w:rsidR="00CE7158" w:rsidRPr="00C56F55" w:rsidRDefault="00CE7158" w:rsidP="002136C9">
            <w:pPr>
              <w:spacing w:after="0"/>
            </w:pPr>
            <w:r w:rsidRPr="00C56F55">
              <w:t>Du bedes udarbejde et notat til din chef, hvori du redegør for dine overvejelser vedrørende hvert af de fem konstaterede forhold og en begrundet stillingtagen til eventuelle konsekvenser for revisionspåtegningen.</w:t>
            </w:r>
          </w:p>
          <w:p w:rsidR="00CE7158" w:rsidRPr="00C56F55" w:rsidRDefault="00CE7158" w:rsidP="002136C9">
            <w:pPr>
              <w:spacing w:after="0"/>
            </w:pPr>
          </w:p>
          <w:p w:rsidR="00CE7158" w:rsidRPr="00C56F55" w:rsidRDefault="00CE7158" w:rsidP="002136C9">
            <w:r w:rsidRPr="00C56F55">
              <w:t>Notatet skal inkludere et udkast til revisionspåtegning for Elkæden A/S for regnskabsåret 2018 under forudsætning af, at ledelsen ikke foretager ændringer til de konstaterede forhold.</w:t>
            </w:r>
          </w:p>
        </w:tc>
      </w:tr>
    </w:tbl>
    <w:p w:rsidR="00CE7158" w:rsidRPr="00C56F55" w:rsidRDefault="00CE7158" w:rsidP="00CE7158"/>
    <w:tbl>
      <w:tblPr>
        <w:tblStyle w:val="Tabel-Gitter"/>
        <w:tblW w:w="0" w:type="auto"/>
        <w:tblLook w:val="04A0" w:firstRow="1" w:lastRow="0" w:firstColumn="1" w:lastColumn="0" w:noHBand="0" w:noVBand="1"/>
      </w:tblPr>
      <w:tblGrid>
        <w:gridCol w:w="4829"/>
        <w:gridCol w:w="4799"/>
      </w:tblGrid>
      <w:tr w:rsidR="00CE7158" w:rsidRPr="00C56F55" w:rsidTr="002136C9">
        <w:tc>
          <w:tcPr>
            <w:tcW w:w="4889" w:type="dxa"/>
          </w:tcPr>
          <w:p w:rsidR="00CE7158" w:rsidRPr="00C56F55" w:rsidRDefault="00CE7158" w:rsidP="002136C9">
            <w:pPr>
              <w:rPr>
                <w:b/>
              </w:rPr>
            </w:pPr>
            <w:r w:rsidRPr="00C56F55">
              <w:rPr>
                <w:b/>
              </w:rPr>
              <w:t>Centrale regler og fortolkninger</w:t>
            </w:r>
          </w:p>
          <w:p w:rsidR="00CE7158" w:rsidRPr="00C56F55" w:rsidRDefault="00CE7158" w:rsidP="002136C9">
            <w:r w:rsidRPr="00C56F55">
              <w:t>ÅRL §§ 68 og 100.</w:t>
            </w:r>
          </w:p>
          <w:p w:rsidR="00CE7158" w:rsidRPr="00C56F55" w:rsidRDefault="00CE7158" w:rsidP="002136C9">
            <w:r w:rsidRPr="00C56F55">
              <w:t>SEL §§ 58 a, 212 og 225.</w:t>
            </w:r>
          </w:p>
          <w:p w:rsidR="00CE7158" w:rsidRPr="00C56F55" w:rsidRDefault="00CE7158" w:rsidP="002136C9">
            <w:r w:rsidRPr="00C56F55">
              <w:t>ISA 705.20 og 705.23.</w:t>
            </w:r>
          </w:p>
          <w:p w:rsidR="00CE7158" w:rsidRPr="00C56F55" w:rsidRDefault="00CE7158" w:rsidP="002136C9">
            <w:r w:rsidRPr="00C56F55">
              <w:t>Erkl. bekg. §§ 6-7 og vejledningen herom.</w:t>
            </w:r>
          </w:p>
          <w:p w:rsidR="00CE7158" w:rsidRPr="00C56F55" w:rsidRDefault="00CE7158" w:rsidP="002136C9">
            <w:r w:rsidRPr="00C56F55">
              <w:t>REVU’s udtalelser om revisionspåtegningen.</w:t>
            </w:r>
          </w:p>
          <w:p w:rsidR="00CE7158" w:rsidRPr="00C56F55" w:rsidRDefault="00CE7158" w:rsidP="002136C9">
            <w:r w:rsidRPr="00C56F55">
              <w:t>”REVU mener (…)” om reelle ejere.</w:t>
            </w:r>
          </w:p>
        </w:tc>
        <w:tc>
          <w:tcPr>
            <w:tcW w:w="4889" w:type="dxa"/>
          </w:tcPr>
          <w:p w:rsidR="00CE7158" w:rsidRPr="00C56F55" w:rsidRDefault="00CE7158" w:rsidP="002136C9">
            <w:pPr>
              <w:rPr>
                <w:b/>
              </w:rPr>
            </w:pPr>
          </w:p>
        </w:tc>
      </w:tr>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 kan bestå (det vil sige minimum karakteren 02)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Notatet er velbegrundet og formuleret i et passende sprog til chefen.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1) Manglende oplysninger om det gennemsnitlige antal beskæftigede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ÅRL § 68 kræver, at virksomheden angiver det gennemsnitlige antal beskæftigede i regnskabsåret.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Eftersom årsregnskabet mangler denne lovkrævede oplysning, skal konklusionen i revisionspåtegnin</w:t>
            </w:r>
            <w:r w:rsidRPr="00C56F55">
              <w:softHyphen/>
              <w:t>gen modificeres i form af et ”bortset fra”-forbehold.</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lastRenderedPageBreak/>
              <w:t>I ”Grundlag for konklusion med forbehold” skal arten af den udeladte information beskrives, og de udeladte oplysninger skal medtages, forudsat at revisor har opnået tilstrækkeligt og egnet revisionsbevis for den udeladte information.</w:t>
            </w:r>
          </w:p>
          <w:p w:rsidR="00CE7158" w:rsidRPr="00C56F55" w:rsidRDefault="00CE7158" w:rsidP="002136C9">
            <w:r w:rsidRPr="00C56F55">
              <w:t>Det må antages, at der er opnået tilstrækkeligt og egnet revisionsbevis for antal beskæftigede i forbindelse med lønrevisionen, og de manglende oplysninger skal derfor medtages i revisions</w:t>
            </w:r>
            <w:r w:rsidRPr="00C56F55">
              <w:softHyphen/>
              <w:t>påtegningen.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2) Manglende omtale af årets resultat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ÅRL § 100 kræver, at ledelsesberetningen beskriver årets resultat sammenholdt med den forventede udvikling ifølge den senest offentliggjorte årsrapport og begrunder afvigelser i resultatet i forhold hertil.</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Ledelsesberetningen er ikke omfattet af revisionspligten, men revisionspåtegningen skal indeholde en udtalelse om ledelsesberetningen.</w:t>
            </w:r>
          </w:p>
          <w:p w:rsidR="00CE7158" w:rsidRPr="00C56F55" w:rsidRDefault="00CE7158" w:rsidP="002136C9">
            <w:r w:rsidRPr="00C56F55">
              <w:t>De manglende oplysninger medfører derfor ikke en modificeret konklusion i revisionspåtegningen.</w:t>
            </w:r>
          </w:p>
          <w:p w:rsidR="00CE7158" w:rsidRPr="00C56F55" w:rsidRDefault="00CE7158" w:rsidP="002136C9">
            <w:r w:rsidRPr="00C56F55">
              <w:t>Revisors udtalelse om ledelsesberetning</w:t>
            </w:r>
            <w:r>
              <w:t>en</w:t>
            </w:r>
            <w:r w:rsidRPr="00C56F55">
              <w:t xml:space="preserve"> omfatter, hvorvidt ledelsesberetningen er udarbejdet i overensstemmelse med lovgivningens krav. </w:t>
            </w:r>
          </w:p>
          <w:p w:rsidR="00CE7158" w:rsidRPr="00C56F55" w:rsidRDefault="00CE7158" w:rsidP="002136C9">
            <w:r w:rsidRPr="00C56F55">
              <w:t>Eftersom ledelsesberetningen mangler lovkrævede oplysninger, skal udtalelsen om ledelsesberetningen modificeres.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3) Behandling af persondata</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Kandidaten forventes ikke at have detailkendskab til disse nye regler. Kandidaten skal dog udvise tilstrækkeligt kendskab til reglerne til at kunne identificere, at persondataforordningen med stor sandsynlighed er overtrådt.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Henset til, at der er tale om nye og komplicerede regler, bør det overvejes at konsultere enten </w:t>
            </w:r>
            <w:r w:rsidRPr="00C56F55">
              <w:lastRenderedPageBreak/>
              <w:t>internt eller hos en advokat med henblik på at vurdere, om ledelsen kan ifalde ansvar.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Kandidaten forventes i besvarelsen at forudsætte, at forholdet medfører, at der er en begrundet formodning om, at ledelsen kan ifalde ansvar, og at der skal rapporteres herom i revisionspåtegningen som en rapporteringsforpligtelse i henhold til erklæringsbekendtgørelsen § 7, stk. 2.</w:t>
            </w:r>
          </w:p>
          <w:p w:rsidR="00CE7158" w:rsidRPr="00C56F55" w:rsidRDefault="00CE7158" w:rsidP="002136C9">
            <w:r w:rsidRPr="00C56F55">
              <w:t>Det er dog acceptabelt, hvis kandidaten ikke konkluderer på forholdet, før der er konsulteret, forudsat at kandidaten har argumenteret tilstrækkeligt for sine overvejelser.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4) Rejseforskud</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Et kapitalselskab må som hovedregel ikke yde lån til medlemmer af ledelsen, medmindre en række formalia er opfyldt, hvilket ikke er tilfældet her.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Kandidaten skal forholde sig til, hvorvidt der er tale om et ulovligt udlån.</w:t>
            </w:r>
          </w:p>
          <w:p w:rsidR="00CE7158" w:rsidRPr="00C56F55" w:rsidRDefault="00CE7158" w:rsidP="002136C9">
            <w:r w:rsidRPr="00C56F55">
              <w:t>Der skal tages stilling til omstændighederne omkring udlånet, herunder udbetalingstidspunktet (ikke oplyst i opgaveteksten – bør evt. undersøges afhængig af kandidatens argumentation og vurderinger), tilbagebetalingstidspunktet og beløbets størrelse.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Baseret på oplysningerne i opgaveteksten og en forudsætning om, at rejseforskuddet er udbetalt umiddelbart inden rejsen, skal det konkluderes, at der er tale om en sædvanlig forretningsmæssig disposition, som ikke er et ulovligt udlån, jf. SEL § 212.</w:t>
            </w:r>
          </w:p>
          <w:p w:rsidR="00CE7158" w:rsidRPr="00C56F55" w:rsidRDefault="00CE7158" w:rsidP="002136C9">
            <w:r w:rsidRPr="00C56F55">
              <w:t>Dette underbygges af, at salgschefen har fået et rejseforskud på samme vilkår, samt at beløbets størrelse ikke forekommer usædvanligt i forhold til rejsen.</w:t>
            </w:r>
          </w:p>
          <w:p w:rsidR="00CE7158" w:rsidRPr="00C56F55" w:rsidRDefault="00CE7158" w:rsidP="002136C9">
            <w:r w:rsidRPr="00C56F55">
              <w:t xml:space="preserve">Kandidaten kan ikke med rimelighed konkludere, at rejseforskuddet er et ikke uvæsentligt, ulovligt </w:t>
            </w:r>
            <w:r w:rsidRPr="00C56F55">
              <w:lastRenderedPageBreak/>
              <w:t>udlån, som skal medføre en rapportering i revisionspåtegningen om ledelsesansvar.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Punkt 5) Manglende registrering af reelle ejere</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Forholdet kan besvares på baggrund af ”</w:t>
            </w:r>
            <w:r w:rsidRPr="00C56F55">
              <w:rPr>
                <w:i/>
              </w:rPr>
              <w:t>REVU mener: Rapportering om ledelsesansvar ved overtrædelse af reglerne for indberetning af reelle ejere</w:t>
            </w:r>
            <w:r w:rsidRPr="00C56F55">
              <w:t>” fra marts 2018.</w:t>
            </w:r>
          </w:p>
          <w:p w:rsidR="00CE7158" w:rsidRPr="00C56F55" w:rsidRDefault="00CE7158" w:rsidP="002136C9">
            <w:r w:rsidRPr="00C56F55">
              <w:t>Det er ikke afgørende for bedømmelsen, om kandidaten udviser kendskab til denne fortolkning, men kandidaten forventes at fremkomme med ræsonnementer og konklusioner, som i al væsentlighed er i overensstemmelse hermed.</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Ifølge ”REVU mener (…)” vil forholdet ikke medføre en rapportering i revisionspåtegningen, hvis registreringen er gennemført, inden revisionspåteg</w:t>
            </w:r>
            <w:r w:rsidRPr="00C56F55">
              <w:softHyphen/>
              <w:t>ningen underskrives, medmindre den manglende registrering skyldes, at ledelsen har haft til hensigt at tilbageholde oplysninger om virksomhedens reelle ejere for tredjemand. Der er ingen indikationer i opgaveteksten på, at sidstnævnte skulle være tilfældet.</w:t>
            </w:r>
          </w:p>
          <w:p w:rsidR="00CE7158" w:rsidRPr="00C56F55" w:rsidRDefault="00CE7158" w:rsidP="002136C9">
            <w:r w:rsidRPr="00C56F55">
              <w:t>Hvis registreringen ikke er gennemført, inden revisionspåtegningen underskrives, skal der rapporteres i revisionspåtegningen om ledelses</w:t>
            </w:r>
            <w:r w:rsidRPr="00C56F55">
              <w:softHyphen/>
              <w:t>ansvar, idet forholdet da ikke kan anses for uvæsentligt.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Blandt andet af ovennævnte årsag bør kandidaten anbefale, at registreringen foretages straks.</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Kandidaten er imidlertid blevet bedt om at forudsætte i udkastet til revisionspåtegningen, at de omtalte forhold ikke bliver ændret, og der skal derfor rapporteres i påtegningen om ledelses</w:t>
            </w:r>
            <w:r w:rsidRPr="00C56F55">
              <w:softHyphen/>
              <w:t>ansvar.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Udkast til revisionspåtegning</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Kandidatens udkast til revisionspåtegning forventes i al væsentlighed at være i overensstemmelse med bilag 2 til denne </w:t>
            </w:r>
            <w:r w:rsidRPr="00C56F55">
              <w:lastRenderedPageBreak/>
              <w:t>rettevejledning eller i overensstem</w:t>
            </w:r>
            <w:r w:rsidRPr="00C56F55">
              <w:softHyphen/>
              <w:t>melse med kandidatens eventuelle velbegrundede afvigelser fra forudsæt</w:t>
            </w:r>
            <w:r w:rsidRPr="00C56F55">
              <w:softHyphen/>
              <w:t>ningerne i rettevejledningen.</w:t>
            </w:r>
          </w:p>
          <w:p w:rsidR="00CE7158" w:rsidRPr="00C56F55" w:rsidRDefault="00CE7158" w:rsidP="002136C9">
            <w:r w:rsidRPr="00C56F55">
              <w:t>Erklæringen i rettevejledningens bilag 2 er baseret på REVU’s udtalelser om revisionspåteg</w:t>
            </w:r>
            <w:r w:rsidRPr="00C56F55">
              <w:softHyphen/>
              <w:t>ninger. Det er uden betydning for bedømmelsen, om udtalelsen om ledelsesberetningen i stedet placeres efter ”Grundlag for konklusion”, som det er tilfældet i eksemplerne i ISA 700 og ISA 720.</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w:t>
            </w:r>
            <w:r>
              <w:rPr>
                <w:b/>
              </w:rPr>
              <w:t>,</w:t>
            </w:r>
            <w:r w:rsidRPr="00C56F55">
              <w:rPr>
                <w:b/>
              </w:rPr>
              <w:t xml:space="preserve"> om kandidaten er bestået eller ikke-bestået</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6"/>
        <w:gridCol w:w="4802"/>
      </w:tblGrid>
      <w:tr w:rsidR="00CE7158" w:rsidRPr="00C56F55" w:rsidTr="002136C9">
        <w:tc>
          <w:tcPr>
            <w:tcW w:w="4889" w:type="dxa"/>
          </w:tcPr>
          <w:p w:rsidR="00CE7158" w:rsidRPr="00C56F55" w:rsidRDefault="00CE7158" w:rsidP="002136C9">
            <w:pPr>
              <w:rPr>
                <w:b/>
              </w:rPr>
            </w:pPr>
            <w:r w:rsidRPr="00C56F55">
              <w:rPr>
                <w:b/>
              </w:rPr>
              <w:t>Følgende bør i alt væsentlighed være behandlet tilfredsstillende, for at kandidaten er over bestået (det vil sige minimum karakteren 4-7)</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Gør opmærksom på, at der ikke (længere) er krav om sammenligningstal for gennemsnitlige antal beskæftigede i regnskabsåret. Ledelsen kan derfor vælge at oplyse tallet for 2018, men undlade at oplyse tallet for 2017, hvorved den negative udvikling ikke direkte fremgår af årsrapporten.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Overvejer, hvorvidt det vil være passende/tilladt at medtage ledelsesberetningens manglende oplysninger om resultatet i revisors udtalelse om ledelsesberetningen.</w:t>
            </w:r>
          </w:p>
          <w:p w:rsidR="00CE7158" w:rsidRPr="00C56F55" w:rsidRDefault="00CE7158" w:rsidP="002136C9">
            <w:r w:rsidRPr="00C56F55">
              <w:t>Eftersom der ikke er krav herom, må sådanne oplysninger betragtes som en overtrædelse af revisors tavshedspligt.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Udviser nærmere kendskab til reglerne i persondataforordningen.</w:t>
            </w:r>
          </w:p>
          <w:p w:rsidR="00CE7158" w:rsidRPr="00C56F55" w:rsidRDefault="00CE7158" w:rsidP="002136C9">
            <w:r w:rsidRPr="00C56F55">
              <w:t xml:space="preserve">Oplysningerne om de fratrådte medarbejdere </w:t>
            </w:r>
            <w:r>
              <w:t xml:space="preserve">må anses for at indeholde </w:t>
            </w:r>
            <w:r w:rsidRPr="00C56F55">
              <w:t>personfølsomme oplysninger, og der kan næppe argumenteres for, at der er et arbejdsbetinget behov for at opbevare disse oplysninger tids</w:t>
            </w:r>
            <w:r w:rsidRPr="00C56F55">
              <w:softHyphen/>
              <w:t>ubegrænset.</w:t>
            </w:r>
          </w:p>
          <w:p w:rsidR="00CE7158" w:rsidRPr="00C56F55" w:rsidRDefault="00CE7158" w:rsidP="002136C9">
            <w:r w:rsidRPr="00C56F55">
              <w:t xml:space="preserve">Der skal under alle omstændigheder foreligge en beskrivelse af forretningsgangene vedrørende </w:t>
            </w:r>
            <w:r w:rsidRPr="00C56F55">
              <w:lastRenderedPageBreak/>
              <w:t>håndtering af persondata, hvilket ikke er udarbejdet hos Elkæden.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Omtaler, at revisor ikke har en undersøgelsespligt i relation til overholdelse af persondataforordningen, men at der i revisionspåtegningen skal ”</w:t>
            </w:r>
            <w:r w:rsidRPr="00C56F55">
              <w:rPr>
                <w:i/>
                <w:sz w:val="20"/>
                <w:szCs w:val="20"/>
              </w:rPr>
              <w:t xml:space="preserve">(…) oplyses om ikke uvæsentlige forhold, som revisor </w:t>
            </w:r>
            <w:r w:rsidRPr="00C56F55">
              <w:rPr>
                <w:i/>
                <w:sz w:val="20"/>
                <w:szCs w:val="20"/>
                <w:u w:val="single"/>
              </w:rPr>
              <w:t>er blevet bekendt med under sit arbejde</w:t>
            </w:r>
            <w:r w:rsidRPr="00C56F55">
              <w:rPr>
                <w:i/>
                <w:sz w:val="20"/>
                <w:szCs w:val="20"/>
              </w:rPr>
              <w:t>, og som giver en begrundet formodning om, at medlemmer af ledelsen kan ifalde erstatnings- eller strafansvar for handlinger eller undladelser, der berører virksomheden (…)</w:t>
            </w:r>
            <w:r w:rsidRPr="00C56F55">
              <w:t>”.</w:t>
            </w:r>
          </w:p>
          <w:p w:rsidR="00CE7158" w:rsidRPr="00C56F55" w:rsidRDefault="00CE7158" w:rsidP="002136C9">
            <w:r w:rsidRPr="00C56F55">
              <w:t>Det er uden betydning, om revisor er blevet bekendt med forholdet ved en tilfældighed eller ved aktive undersøgelser.</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Er opmærksom på ændringen af selskabsloven vedtaget den 17. maj 2018, hvorefter Erhvervs</w:t>
            </w:r>
            <w:r w:rsidRPr="00C56F55">
              <w:softHyphen/>
              <w:t xml:space="preserve">styrelsen i SEL § 225 er blevet bemyndiget til at anmode skifteretten om at tvangsopløse et selskab, hvis selskabet ikke har foretaget registrering af dets reelle ejere. </w:t>
            </w:r>
          </w:p>
          <w:p w:rsidR="00CE7158" w:rsidRPr="00C56F55" w:rsidRDefault="00CE7158" w:rsidP="002136C9">
            <w:r w:rsidRPr="00C56F55">
              <w:t>Den manglende registrering af reelle ejere udgør dermed en going concernrisiko.</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Øvrige forhold, som får notatet til at fremstå mere målrettet.</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Samlet vurdering af om kandidaten er over bestået</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16"/>
        <w:gridCol w:w="4812"/>
      </w:tblGrid>
      <w:tr w:rsidR="00CE7158" w:rsidRPr="00C56F55" w:rsidTr="002136C9">
        <w:tc>
          <w:tcPr>
            <w:tcW w:w="4889" w:type="dxa"/>
          </w:tcPr>
          <w:p w:rsidR="00CE7158" w:rsidRPr="00C56F55" w:rsidRDefault="00CE7158" w:rsidP="002136C9">
            <w:pPr>
              <w:rPr>
                <w:b/>
              </w:rPr>
            </w:pPr>
            <w:r w:rsidRPr="00C56F55">
              <w:rPr>
                <w:b/>
              </w:rPr>
              <w:t>Følgende bør i al væsentlighed være behandlet tilfredsstillende, for at kandidatens besvarelse er god eller rigtig god (det vil sige karakteren 10-12)</w:t>
            </w:r>
          </w:p>
        </w:tc>
        <w:tc>
          <w:tcPr>
            <w:tcW w:w="4889" w:type="dxa"/>
          </w:tcPr>
          <w:p w:rsidR="00CE7158" w:rsidRPr="00C56F55" w:rsidRDefault="00CE7158" w:rsidP="002136C9">
            <w:pPr>
              <w:rPr>
                <w:b/>
              </w:rPr>
            </w:pPr>
            <w:r w:rsidRPr="00C56F55">
              <w:rPr>
                <w:b/>
              </w:rPr>
              <w:t>Bemærkninger</w:t>
            </w:r>
          </w:p>
        </w:tc>
      </w:tr>
      <w:tr w:rsidR="00CE7158" w:rsidRPr="00C56F55" w:rsidTr="002136C9">
        <w:tc>
          <w:tcPr>
            <w:tcW w:w="4889" w:type="dxa"/>
          </w:tcPr>
          <w:p w:rsidR="00CE7158" w:rsidRPr="00C56F55" w:rsidRDefault="00CE7158" w:rsidP="002136C9">
            <w:r w:rsidRPr="00C56F55">
              <w:t>Gør sig overvejelser om, hvorvidt kandidaten ønsker genvalg som revisor henset til ledelsens indstilling til overholdelse af lovgivningen.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r w:rsidRPr="00C56F55">
              <w:t xml:space="preserve">Ingen nævneværdige, faglige fejl eller fejl vedrørende formulering og disponering. </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lastRenderedPageBreak/>
              <w:t>Samlet vurdering af</w:t>
            </w:r>
            <w:r>
              <w:rPr>
                <w:b/>
              </w:rPr>
              <w:t>,</w:t>
            </w:r>
            <w:r w:rsidRPr="00C56F55">
              <w:rPr>
                <w:b/>
              </w:rPr>
              <w:t xml:space="preserve"> om kandidatens besvarelse er god eller rigtig god</w:t>
            </w:r>
          </w:p>
        </w:tc>
        <w:tc>
          <w:tcPr>
            <w:tcW w:w="4889" w:type="dxa"/>
          </w:tcPr>
          <w:p w:rsidR="00CE7158" w:rsidRPr="00C56F55" w:rsidRDefault="00CE7158" w:rsidP="002136C9"/>
        </w:tc>
      </w:tr>
    </w:tbl>
    <w:p w:rsidR="00CE7158" w:rsidRPr="00C56F55" w:rsidRDefault="00CE7158" w:rsidP="00CE7158"/>
    <w:tbl>
      <w:tblPr>
        <w:tblStyle w:val="Tabel-Gitter"/>
        <w:tblW w:w="0" w:type="auto"/>
        <w:tblLook w:val="04A0" w:firstRow="1" w:lastRow="0" w:firstColumn="1" w:lastColumn="0" w:noHBand="0" w:noVBand="1"/>
      </w:tblPr>
      <w:tblGrid>
        <w:gridCol w:w="4824"/>
        <w:gridCol w:w="4804"/>
      </w:tblGrid>
      <w:tr w:rsidR="00CE7158" w:rsidRPr="00C56F55" w:rsidTr="002136C9">
        <w:tc>
          <w:tcPr>
            <w:tcW w:w="4889" w:type="dxa"/>
          </w:tcPr>
          <w:p w:rsidR="00CE7158" w:rsidRPr="00C56F55" w:rsidRDefault="00CE7158" w:rsidP="002136C9">
            <w:pPr>
              <w:rPr>
                <w:b/>
              </w:rPr>
            </w:pPr>
            <w:r w:rsidRPr="00C56F55">
              <w:rPr>
                <w:b/>
              </w:rPr>
              <w:t>Karakter for besvarelsen af spørgsmål 4</w:t>
            </w:r>
          </w:p>
        </w:tc>
        <w:tc>
          <w:tcPr>
            <w:tcW w:w="4889" w:type="dxa"/>
          </w:tcPr>
          <w:p w:rsidR="00CE7158" w:rsidRPr="00C56F55" w:rsidRDefault="00CE7158" w:rsidP="002136C9"/>
        </w:tc>
      </w:tr>
      <w:tr w:rsidR="00CE7158" w:rsidRPr="00C56F55" w:rsidTr="002136C9">
        <w:tc>
          <w:tcPr>
            <w:tcW w:w="9778" w:type="dxa"/>
            <w:gridSpan w:val="2"/>
          </w:tcPr>
          <w:p w:rsidR="00CE7158" w:rsidRPr="00C56F55" w:rsidRDefault="00CE7158" w:rsidP="002136C9">
            <w:pPr>
              <w:rPr>
                <w:b/>
              </w:rPr>
            </w:pPr>
            <w:r w:rsidRPr="00C56F55">
              <w:rPr>
                <w:b/>
              </w:rPr>
              <w:t>Begrundelse</w:t>
            </w:r>
          </w:p>
          <w:p w:rsidR="00CE7158" w:rsidRPr="00C56F55" w:rsidRDefault="00CE7158" w:rsidP="002136C9"/>
        </w:tc>
      </w:tr>
    </w:tbl>
    <w:p w:rsidR="00CE7158" w:rsidRPr="00C56F55" w:rsidRDefault="00CE7158" w:rsidP="00CE7158"/>
    <w:p w:rsidR="00CE7158" w:rsidRPr="00C56F55" w:rsidRDefault="00CE7158" w:rsidP="00CE7158"/>
    <w:tbl>
      <w:tblPr>
        <w:tblStyle w:val="Tabel-Gitter"/>
        <w:tblW w:w="0" w:type="auto"/>
        <w:tblLook w:val="04A0" w:firstRow="1" w:lastRow="0" w:firstColumn="1" w:lastColumn="0" w:noHBand="0" w:noVBand="1"/>
      </w:tblPr>
      <w:tblGrid>
        <w:gridCol w:w="4824"/>
        <w:gridCol w:w="4804"/>
      </w:tblGrid>
      <w:tr w:rsidR="00CE7158" w:rsidRPr="00C56F55" w:rsidTr="002136C9">
        <w:tc>
          <w:tcPr>
            <w:tcW w:w="4889" w:type="dxa"/>
          </w:tcPr>
          <w:p w:rsidR="00CE7158" w:rsidRPr="00C56F55" w:rsidRDefault="00CE7158" w:rsidP="002136C9">
            <w:pPr>
              <w:rPr>
                <w:b/>
              </w:rPr>
            </w:pPr>
            <w:r w:rsidRPr="00C56F55">
              <w:rPr>
                <w:b/>
              </w:rPr>
              <w:t>Samlet karakter for besvarelsen</w:t>
            </w:r>
          </w:p>
        </w:tc>
        <w:tc>
          <w:tcPr>
            <w:tcW w:w="4889" w:type="dxa"/>
          </w:tcPr>
          <w:p w:rsidR="00CE7158" w:rsidRPr="00C56F55" w:rsidRDefault="00CE7158" w:rsidP="002136C9"/>
        </w:tc>
      </w:tr>
      <w:tr w:rsidR="00CE7158" w:rsidRPr="00C56F55" w:rsidTr="002136C9">
        <w:tc>
          <w:tcPr>
            <w:tcW w:w="4889" w:type="dxa"/>
          </w:tcPr>
          <w:p w:rsidR="00CE7158" w:rsidRPr="00C56F55" w:rsidRDefault="00CE7158" w:rsidP="002136C9">
            <w:pPr>
              <w:rPr>
                <w:b/>
              </w:rPr>
            </w:pPr>
            <w:r w:rsidRPr="00C56F55">
              <w:rPr>
                <w:b/>
              </w:rPr>
              <w:t>Bestået (B) eller ikke-bestået (IB)</w:t>
            </w:r>
          </w:p>
        </w:tc>
        <w:tc>
          <w:tcPr>
            <w:tcW w:w="4889" w:type="dxa"/>
          </w:tcPr>
          <w:p w:rsidR="00CE7158" w:rsidRPr="00C56F55" w:rsidRDefault="00CE7158" w:rsidP="002136C9"/>
        </w:tc>
      </w:tr>
      <w:tr w:rsidR="00CE7158" w:rsidRPr="00C56F55" w:rsidTr="002136C9">
        <w:tc>
          <w:tcPr>
            <w:tcW w:w="9778" w:type="dxa"/>
            <w:gridSpan w:val="2"/>
          </w:tcPr>
          <w:p w:rsidR="00CE7158" w:rsidRPr="00C56F55" w:rsidRDefault="00CE7158" w:rsidP="002136C9">
            <w:pPr>
              <w:rPr>
                <w:b/>
              </w:rPr>
            </w:pPr>
            <w:r w:rsidRPr="00C56F55">
              <w:rPr>
                <w:b/>
              </w:rPr>
              <w:t>Begrundelse</w:t>
            </w:r>
          </w:p>
          <w:p w:rsidR="00CE7158" w:rsidRPr="00C56F55" w:rsidRDefault="00CE7158" w:rsidP="002136C9"/>
        </w:tc>
      </w:tr>
    </w:tbl>
    <w:p w:rsidR="00CE7158" w:rsidRPr="00C56F55" w:rsidRDefault="00CE7158" w:rsidP="00CE7158"/>
    <w:p w:rsidR="00CE7158" w:rsidRPr="00C56F55" w:rsidRDefault="00CE7158" w:rsidP="00CE7158">
      <w:r w:rsidRPr="00C56F55">
        <w:t>Rettekommentarer udarbejdet af:</w:t>
      </w:r>
      <w:r w:rsidRPr="00C56F55">
        <w:tab/>
      </w:r>
    </w:p>
    <w:p w:rsidR="00CE7158" w:rsidRPr="00C56F55" w:rsidRDefault="00CE7158" w:rsidP="00CE7158">
      <w:r w:rsidRPr="00C56F55">
        <w:t xml:space="preserve">Navn: </w:t>
      </w:r>
    </w:p>
    <w:p w:rsidR="00CE7158" w:rsidRPr="00C56F55" w:rsidRDefault="00CE7158" w:rsidP="00CE7158">
      <w:pPr>
        <w:sectPr w:rsidR="00CE7158" w:rsidRPr="00C56F55" w:rsidSect="001F7718">
          <w:headerReference w:type="default" r:id="rId8"/>
          <w:footerReference w:type="default" r:id="rId9"/>
          <w:pgSz w:w="11906" w:h="16838"/>
          <w:pgMar w:top="1701" w:right="1134" w:bottom="1560" w:left="1134" w:header="708" w:footer="708" w:gutter="0"/>
          <w:pgNumType w:start="1"/>
          <w:cols w:space="708"/>
          <w:docGrid w:linePitch="360"/>
        </w:sectPr>
      </w:pPr>
      <w:r w:rsidRPr="00C56F55">
        <w:t xml:space="preserve">Dato: </w:t>
      </w:r>
    </w:p>
    <w:p w:rsidR="00CE7158" w:rsidRPr="00C56F55" w:rsidRDefault="00CE7158" w:rsidP="00CE7158">
      <w:pPr>
        <w:rPr>
          <w:b/>
          <w:sz w:val="26"/>
          <w:szCs w:val="26"/>
        </w:rPr>
      </w:pPr>
      <w:r w:rsidRPr="00C56F55">
        <w:rPr>
          <w:b/>
          <w:sz w:val="26"/>
          <w:szCs w:val="26"/>
        </w:rPr>
        <w:lastRenderedPageBreak/>
        <w:t xml:space="preserve">Bilag 1 (spørgsmål 1) – Elimineringer og reguleringer </w:t>
      </w:r>
    </w:p>
    <w:p w:rsidR="00CE7158" w:rsidRPr="00C56F55" w:rsidRDefault="00CE7158" w:rsidP="00CE7158">
      <w:pPr>
        <w:autoSpaceDE w:val="0"/>
        <w:autoSpaceDN w:val="0"/>
        <w:adjustRightInd w:val="0"/>
        <w:spacing w:after="0"/>
        <w:rPr>
          <w:rFonts w:cstheme="minorHAnsi"/>
        </w:rPr>
      </w:pPr>
    </w:p>
    <w:tbl>
      <w:tblPr>
        <w:tblStyle w:val="Tabel-Gitter"/>
        <w:tblW w:w="9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6"/>
        <w:gridCol w:w="57"/>
        <w:gridCol w:w="1182"/>
        <w:gridCol w:w="57"/>
        <w:gridCol w:w="1182"/>
        <w:gridCol w:w="57"/>
        <w:gridCol w:w="1182"/>
        <w:gridCol w:w="57"/>
        <w:gridCol w:w="1182"/>
        <w:gridCol w:w="57"/>
        <w:gridCol w:w="1182"/>
      </w:tblGrid>
      <w:tr w:rsidR="00CE7158" w:rsidRPr="00C56F55" w:rsidTr="002136C9">
        <w:tc>
          <w:tcPr>
            <w:tcW w:w="3799" w:type="dxa"/>
          </w:tcPr>
          <w:p w:rsidR="00CE7158" w:rsidRPr="00C56F55" w:rsidRDefault="00CE7158" w:rsidP="002136C9">
            <w:pPr>
              <w:spacing w:after="0" w:line="240" w:lineRule="auto"/>
              <w:rPr>
                <w:rFonts w:cstheme="minorHAnsi"/>
                <w:b/>
                <w:sz w:val="20"/>
                <w:szCs w:val="20"/>
              </w:rPr>
            </w:pPr>
            <w:r w:rsidRPr="00C56F55">
              <w:rPr>
                <w:rFonts w:cstheme="minorHAnsi"/>
                <w:b/>
                <w:sz w:val="20"/>
                <w:szCs w:val="20"/>
              </w:rPr>
              <w:t>TDKK</w:t>
            </w:r>
          </w:p>
          <w:p w:rsidR="00CE7158" w:rsidRPr="00C56F55" w:rsidRDefault="00CE7158" w:rsidP="002136C9">
            <w:pPr>
              <w:spacing w:after="0" w:line="240" w:lineRule="auto"/>
              <w:rPr>
                <w:rFonts w:cstheme="minorHAnsi"/>
                <w:b/>
                <w:sz w:val="20"/>
                <w:szCs w:val="20"/>
              </w:rPr>
            </w:pPr>
            <w:r w:rsidRPr="00C56F55">
              <w:rPr>
                <w:rFonts w:cstheme="minorHAnsi"/>
                <w:b/>
                <w:sz w:val="20"/>
                <w:szCs w:val="20"/>
              </w:rPr>
              <w:t>+  = debet / -  = kredit</w:t>
            </w:r>
          </w:p>
        </w:tc>
        <w:tc>
          <w:tcPr>
            <w:tcW w:w="57" w:type="dxa"/>
            <w:tcMar>
              <w:left w:w="0" w:type="dxa"/>
              <w:right w:w="0" w:type="dxa"/>
            </w:tcMar>
          </w:tcPr>
          <w:p w:rsidR="00CE7158" w:rsidRPr="00C56F55" w:rsidRDefault="00CE7158" w:rsidP="002136C9">
            <w:pPr>
              <w:spacing w:after="0" w:line="240" w:lineRule="auto"/>
              <w:rPr>
                <w:rFonts w:cstheme="minorHAnsi"/>
                <w:b/>
              </w:rPr>
            </w:pPr>
          </w:p>
        </w:tc>
        <w:tc>
          <w:tcPr>
            <w:tcW w:w="1191" w:type="dxa"/>
            <w:tcBorders>
              <w:bottom w:val="single" w:sz="4" w:space="0" w:color="auto"/>
            </w:tcBorders>
            <w:vAlign w:val="bottom"/>
          </w:tcPr>
          <w:p w:rsidR="00CE7158" w:rsidRPr="00C56F55" w:rsidRDefault="00CE7158" w:rsidP="002136C9">
            <w:pPr>
              <w:spacing w:after="0" w:line="240" w:lineRule="auto"/>
              <w:jc w:val="center"/>
              <w:rPr>
                <w:rFonts w:cstheme="minorHAnsi"/>
                <w:b/>
                <w:sz w:val="20"/>
                <w:szCs w:val="20"/>
              </w:rPr>
            </w:pPr>
            <w:r w:rsidRPr="00C56F55">
              <w:rPr>
                <w:rFonts w:cstheme="minorHAnsi"/>
                <w:b/>
                <w:sz w:val="20"/>
                <w:szCs w:val="20"/>
              </w:rPr>
              <w:t>Elkæden A/S</w:t>
            </w:r>
          </w:p>
        </w:tc>
        <w:tc>
          <w:tcPr>
            <w:tcW w:w="57" w:type="dxa"/>
            <w:tcMar>
              <w:left w:w="0" w:type="dxa"/>
              <w:right w:w="0" w:type="dxa"/>
            </w:tcMar>
            <w:vAlign w:val="bottom"/>
          </w:tcPr>
          <w:p w:rsidR="00CE7158" w:rsidRPr="00C56F55" w:rsidRDefault="00CE7158" w:rsidP="002136C9">
            <w:pPr>
              <w:spacing w:after="0" w:line="240" w:lineRule="auto"/>
              <w:jc w:val="center"/>
              <w:rPr>
                <w:rFonts w:cstheme="minorHAnsi"/>
                <w:b/>
                <w:sz w:val="20"/>
                <w:szCs w:val="20"/>
              </w:rPr>
            </w:pPr>
          </w:p>
        </w:tc>
        <w:tc>
          <w:tcPr>
            <w:tcW w:w="1191" w:type="dxa"/>
            <w:tcBorders>
              <w:bottom w:val="single" w:sz="4" w:space="0" w:color="auto"/>
            </w:tcBorders>
            <w:vAlign w:val="bottom"/>
          </w:tcPr>
          <w:p w:rsidR="00CE7158" w:rsidRPr="00C56F55" w:rsidRDefault="00CE7158" w:rsidP="002136C9">
            <w:pPr>
              <w:spacing w:after="0" w:line="240" w:lineRule="auto"/>
              <w:jc w:val="center"/>
              <w:rPr>
                <w:rFonts w:cstheme="minorHAnsi"/>
                <w:b/>
                <w:sz w:val="20"/>
                <w:szCs w:val="20"/>
              </w:rPr>
            </w:pPr>
            <w:r w:rsidRPr="00C56F55">
              <w:rPr>
                <w:rFonts w:cstheme="minorHAnsi"/>
                <w:b/>
                <w:sz w:val="20"/>
                <w:szCs w:val="20"/>
              </w:rPr>
              <w:t>EK Ejd. ApS</w:t>
            </w:r>
          </w:p>
        </w:tc>
        <w:tc>
          <w:tcPr>
            <w:tcW w:w="57" w:type="dxa"/>
            <w:tcMar>
              <w:left w:w="0" w:type="dxa"/>
              <w:right w:w="0" w:type="dxa"/>
            </w:tcMar>
            <w:vAlign w:val="bottom"/>
          </w:tcPr>
          <w:p w:rsidR="00CE7158" w:rsidRPr="00C56F55" w:rsidRDefault="00CE7158" w:rsidP="002136C9">
            <w:pPr>
              <w:spacing w:after="0" w:line="240" w:lineRule="auto"/>
              <w:jc w:val="center"/>
              <w:rPr>
                <w:rFonts w:cstheme="minorHAnsi"/>
                <w:b/>
                <w:sz w:val="20"/>
                <w:szCs w:val="20"/>
              </w:rPr>
            </w:pPr>
          </w:p>
        </w:tc>
        <w:tc>
          <w:tcPr>
            <w:tcW w:w="1191" w:type="dxa"/>
            <w:tcBorders>
              <w:bottom w:val="single" w:sz="4" w:space="0" w:color="auto"/>
            </w:tcBorders>
            <w:vAlign w:val="bottom"/>
          </w:tcPr>
          <w:p w:rsidR="00CE7158" w:rsidRPr="00C56F55" w:rsidRDefault="00CE7158" w:rsidP="002136C9">
            <w:pPr>
              <w:spacing w:after="0" w:line="240" w:lineRule="auto"/>
              <w:jc w:val="center"/>
              <w:rPr>
                <w:rFonts w:cstheme="minorHAnsi"/>
                <w:b/>
                <w:sz w:val="20"/>
                <w:szCs w:val="20"/>
              </w:rPr>
            </w:pPr>
            <w:r w:rsidRPr="00C56F55">
              <w:rPr>
                <w:rFonts w:cstheme="minorHAnsi"/>
                <w:b/>
                <w:sz w:val="20"/>
                <w:szCs w:val="20"/>
              </w:rPr>
              <w:t>I alt</w:t>
            </w:r>
          </w:p>
        </w:tc>
        <w:tc>
          <w:tcPr>
            <w:tcW w:w="57" w:type="dxa"/>
            <w:tcMar>
              <w:left w:w="0" w:type="dxa"/>
              <w:right w:w="0" w:type="dxa"/>
            </w:tcMar>
            <w:vAlign w:val="bottom"/>
          </w:tcPr>
          <w:p w:rsidR="00CE7158" w:rsidRPr="00C56F55" w:rsidRDefault="00CE7158" w:rsidP="002136C9">
            <w:pPr>
              <w:spacing w:after="0" w:line="240" w:lineRule="auto"/>
              <w:jc w:val="center"/>
              <w:rPr>
                <w:rFonts w:cstheme="minorHAnsi"/>
                <w:b/>
                <w:sz w:val="20"/>
                <w:szCs w:val="20"/>
              </w:rPr>
            </w:pPr>
          </w:p>
        </w:tc>
        <w:tc>
          <w:tcPr>
            <w:tcW w:w="1191" w:type="dxa"/>
            <w:tcBorders>
              <w:bottom w:val="single" w:sz="4" w:space="0" w:color="auto"/>
            </w:tcBorders>
            <w:vAlign w:val="bottom"/>
          </w:tcPr>
          <w:p w:rsidR="00CE7158" w:rsidRPr="00C56F55" w:rsidRDefault="00CE7158" w:rsidP="002136C9">
            <w:pPr>
              <w:spacing w:after="0" w:line="240" w:lineRule="auto"/>
              <w:jc w:val="center"/>
              <w:rPr>
                <w:rFonts w:cstheme="minorHAnsi"/>
                <w:b/>
                <w:sz w:val="20"/>
                <w:szCs w:val="20"/>
              </w:rPr>
            </w:pPr>
            <w:r w:rsidRPr="00C56F55">
              <w:rPr>
                <w:rFonts w:cstheme="minorHAnsi"/>
                <w:b/>
                <w:sz w:val="20"/>
                <w:szCs w:val="20"/>
              </w:rPr>
              <w:t>Eliminering /regulering</w:t>
            </w:r>
          </w:p>
        </w:tc>
        <w:tc>
          <w:tcPr>
            <w:tcW w:w="57" w:type="dxa"/>
            <w:tcMar>
              <w:left w:w="0" w:type="dxa"/>
              <w:right w:w="0" w:type="dxa"/>
            </w:tcMar>
            <w:vAlign w:val="bottom"/>
          </w:tcPr>
          <w:p w:rsidR="00CE7158" w:rsidRPr="00C56F55" w:rsidRDefault="00CE7158" w:rsidP="002136C9">
            <w:pPr>
              <w:spacing w:after="0" w:line="240" w:lineRule="auto"/>
              <w:jc w:val="center"/>
              <w:rPr>
                <w:rFonts w:cstheme="minorHAnsi"/>
                <w:b/>
                <w:sz w:val="20"/>
                <w:szCs w:val="20"/>
              </w:rPr>
            </w:pPr>
          </w:p>
        </w:tc>
        <w:tc>
          <w:tcPr>
            <w:tcW w:w="1191" w:type="dxa"/>
            <w:tcBorders>
              <w:bottom w:val="single" w:sz="4" w:space="0" w:color="auto"/>
            </w:tcBorders>
            <w:vAlign w:val="bottom"/>
          </w:tcPr>
          <w:p w:rsidR="00CE7158" w:rsidRPr="00C56F55" w:rsidRDefault="00CE7158" w:rsidP="002136C9">
            <w:pPr>
              <w:spacing w:after="0" w:line="240" w:lineRule="auto"/>
              <w:jc w:val="center"/>
              <w:rPr>
                <w:rFonts w:cstheme="minorHAnsi"/>
                <w:b/>
                <w:sz w:val="20"/>
                <w:szCs w:val="20"/>
              </w:rPr>
            </w:pPr>
            <w:r w:rsidRPr="00C56F55">
              <w:rPr>
                <w:rFonts w:cstheme="minorHAnsi"/>
                <w:b/>
                <w:sz w:val="20"/>
                <w:szCs w:val="20"/>
              </w:rPr>
              <w:t>Koncern</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Borders>
              <w:top w:val="single" w:sz="4" w:space="0" w:color="auto"/>
            </w:tcBorders>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Borders>
              <w:top w:val="single" w:sz="4" w:space="0" w:color="auto"/>
            </w:tcBorders>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Borders>
              <w:top w:val="single" w:sz="4" w:space="0" w:color="auto"/>
            </w:tcBorders>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Borders>
              <w:top w:val="single" w:sz="4" w:space="0" w:color="auto"/>
            </w:tcBorders>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Borders>
              <w:top w:val="single" w:sz="4" w:space="0" w:color="auto"/>
            </w:tcBorders>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Realiseret gevinst ved salg af alle ejd. (drift)</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-587</w:t>
            </w: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-587</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587</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0</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Værdi af ejendomme (balance)</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112.500</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112.500</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-587</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111.913</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Dagsværdireg. alle ejd. (tilbageføres) (drift)</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-1.500</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-1.500</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1.500</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0</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Værdi af ejendomme (balance)</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111.913</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-1.500</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110.413</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Negativ dagsværdireg. af butiksejd. (drift)</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966</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966</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Værdi af ejendomme (balance)</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110.413</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-966</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109.447</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Årets afskrivninger på adm. ejd. (drift)</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1.147</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1.147</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Værdi af ejendomme (balance)</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109.447</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-1.147</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108.300</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Udskudt skat, 22 % af 4.200 (drift) *</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-924</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-924</w:t>
            </w:r>
          </w:p>
        </w:tc>
      </w:tr>
      <w:tr w:rsidR="00CE7158" w:rsidRPr="00C56F55" w:rsidTr="002136C9">
        <w:tc>
          <w:tcPr>
            <w:tcW w:w="3799" w:type="dxa"/>
          </w:tcPr>
          <w:p w:rsidR="00CE7158" w:rsidRPr="00C56F55" w:rsidRDefault="00CE7158" w:rsidP="002136C9">
            <w:pPr>
              <w:spacing w:after="0" w:line="240" w:lineRule="auto"/>
              <w:rPr>
                <w:rFonts w:ascii="Calibri" w:hAnsi="Calibri" w:cs="Calibri"/>
                <w:sz w:val="20"/>
                <w:szCs w:val="20"/>
              </w:rPr>
            </w:pPr>
            <w:r w:rsidRPr="00C56F55">
              <w:rPr>
                <w:rFonts w:cstheme="minorHAnsi"/>
                <w:sz w:val="20"/>
                <w:szCs w:val="20"/>
              </w:rPr>
              <w:t>Udskudt skat, 22 % af 4.200 (balance)</w:t>
            </w: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924</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924</w:t>
            </w: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3799"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 TDKK 587 + 1.500 + 966 + 1.147 = 4.200</w:t>
            </w:r>
          </w:p>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b/>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bl>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Værdien af ejendommene i koncernregnskabet kan specificeres således:</w:t>
      </w:r>
    </w:p>
    <w:p w:rsidR="00CE7158" w:rsidRPr="00C56F55" w:rsidRDefault="00CE7158" w:rsidP="00CE7158">
      <w:pPr>
        <w:autoSpaceDE w:val="0"/>
        <w:autoSpaceDN w:val="0"/>
        <w:adjustRightInd w:val="0"/>
        <w:spacing w:after="0"/>
        <w:rPr>
          <w:rFonts w:cstheme="minorHAnsi"/>
        </w:rPr>
      </w:pPr>
    </w:p>
    <w:tbl>
      <w:tblPr>
        <w:tblStyle w:val="Tabel-Gitter"/>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5"/>
        <w:gridCol w:w="56"/>
        <w:gridCol w:w="1182"/>
        <w:gridCol w:w="57"/>
        <w:gridCol w:w="1182"/>
        <w:gridCol w:w="57"/>
        <w:gridCol w:w="1182"/>
      </w:tblGrid>
      <w:tr w:rsidR="00CE7158" w:rsidRPr="00C56F55" w:rsidTr="002136C9">
        <w:tc>
          <w:tcPr>
            <w:tcW w:w="6294"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Domicilejendomme:</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6294"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Vejle: Regnskabsmæssig værdi 31/12 2017 minus afskrivninger i 2018</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31.300</w:t>
            </w:r>
          </w:p>
        </w:tc>
      </w:tr>
      <w:tr w:rsidR="00CE7158" w:rsidRPr="00C56F55" w:rsidTr="002136C9">
        <w:tc>
          <w:tcPr>
            <w:tcW w:w="6294"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6294"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Investeringsejendomme:</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r>
      <w:tr w:rsidR="00CE7158" w:rsidRPr="00C56F55" w:rsidTr="002136C9">
        <w:tc>
          <w:tcPr>
            <w:tcW w:w="6294"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Forventet dagsværdi af butiksejendom i Odense</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26.000</w:t>
            </w:r>
          </w:p>
        </w:tc>
      </w:tr>
      <w:tr w:rsidR="00CE7158" w:rsidRPr="00C56F55" w:rsidTr="002136C9">
        <w:tc>
          <w:tcPr>
            <w:tcW w:w="6294" w:type="dxa"/>
          </w:tcPr>
          <w:p w:rsidR="00CE7158" w:rsidRPr="00C56F55" w:rsidRDefault="00CE7158" w:rsidP="002136C9">
            <w:pPr>
              <w:spacing w:after="0" w:line="240" w:lineRule="auto"/>
              <w:rPr>
                <w:rFonts w:cstheme="minorHAnsi"/>
                <w:sz w:val="20"/>
                <w:szCs w:val="20"/>
              </w:rPr>
            </w:pPr>
            <w:r w:rsidRPr="00C56F55">
              <w:rPr>
                <w:rFonts w:cstheme="minorHAnsi"/>
                <w:sz w:val="20"/>
                <w:szCs w:val="20"/>
              </w:rPr>
              <w:t>Forventet dagsværdi af butiksejendom i København</w:t>
            </w: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r w:rsidRPr="00C56F55">
              <w:rPr>
                <w:rFonts w:cstheme="minorHAnsi"/>
                <w:sz w:val="20"/>
                <w:szCs w:val="20"/>
              </w:rPr>
              <w:t>51.000</w:t>
            </w:r>
          </w:p>
        </w:tc>
      </w:tr>
      <w:tr w:rsidR="00CE7158" w:rsidRPr="00C56F55" w:rsidTr="002136C9">
        <w:tc>
          <w:tcPr>
            <w:tcW w:w="6294" w:type="dxa"/>
          </w:tcPr>
          <w:p w:rsidR="00CE7158" w:rsidRPr="00C56F55" w:rsidRDefault="00CE7158" w:rsidP="002136C9">
            <w:pPr>
              <w:spacing w:after="0" w:line="240" w:lineRule="auto"/>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Pr>
          <w:p w:rsidR="00CE7158" w:rsidRPr="00C56F55" w:rsidRDefault="00CE7158" w:rsidP="002136C9">
            <w:pPr>
              <w:spacing w:after="0" w:line="240" w:lineRule="auto"/>
              <w:jc w:val="right"/>
              <w:rPr>
                <w:rFonts w:cstheme="minorHAnsi"/>
                <w:sz w:val="20"/>
                <w:szCs w:val="20"/>
              </w:rPr>
            </w:pPr>
          </w:p>
        </w:tc>
        <w:tc>
          <w:tcPr>
            <w:tcW w:w="57" w:type="dxa"/>
            <w:tcMar>
              <w:left w:w="0" w:type="dxa"/>
              <w:right w:w="0" w:type="dxa"/>
            </w:tcMar>
          </w:tcPr>
          <w:p w:rsidR="00CE7158" w:rsidRPr="00C56F55" w:rsidRDefault="00CE7158" w:rsidP="002136C9">
            <w:pPr>
              <w:spacing w:after="0" w:line="240" w:lineRule="auto"/>
              <w:jc w:val="right"/>
              <w:rPr>
                <w:rFonts w:cstheme="minorHAnsi"/>
                <w:sz w:val="20"/>
                <w:szCs w:val="20"/>
              </w:rPr>
            </w:pPr>
          </w:p>
        </w:tc>
        <w:tc>
          <w:tcPr>
            <w:tcW w:w="1191" w:type="dxa"/>
            <w:tcBorders>
              <w:bottom w:val="single" w:sz="4" w:space="0" w:color="auto"/>
            </w:tcBorders>
          </w:tcPr>
          <w:p w:rsidR="00CE7158" w:rsidRPr="00C56F55" w:rsidRDefault="00CE7158" w:rsidP="002136C9">
            <w:pPr>
              <w:spacing w:after="0" w:line="240" w:lineRule="auto"/>
              <w:jc w:val="right"/>
              <w:rPr>
                <w:rFonts w:cstheme="minorHAnsi"/>
                <w:sz w:val="20"/>
                <w:szCs w:val="20"/>
              </w:rPr>
            </w:pPr>
          </w:p>
        </w:tc>
      </w:tr>
      <w:tr w:rsidR="00CE7158" w:rsidRPr="00C56F55" w:rsidTr="002136C9">
        <w:trPr>
          <w:trHeight w:val="312"/>
        </w:trPr>
        <w:tc>
          <w:tcPr>
            <w:tcW w:w="6294" w:type="dxa"/>
            <w:vAlign w:val="center"/>
          </w:tcPr>
          <w:p w:rsidR="00CE7158" w:rsidRPr="00C56F55" w:rsidRDefault="00CE7158" w:rsidP="002136C9">
            <w:pPr>
              <w:spacing w:after="0" w:line="240" w:lineRule="auto"/>
              <w:rPr>
                <w:rFonts w:cstheme="minorHAnsi"/>
                <w:b/>
                <w:sz w:val="20"/>
                <w:szCs w:val="20"/>
              </w:rPr>
            </w:pPr>
            <w:r w:rsidRPr="00C56F55">
              <w:rPr>
                <w:rFonts w:cstheme="minorHAnsi"/>
                <w:b/>
                <w:sz w:val="20"/>
                <w:szCs w:val="20"/>
              </w:rPr>
              <w:t>I alt</w:t>
            </w:r>
          </w:p>
        </w:tc>
        <w:tc>
          <w:tcPr>
            <w:tcW w:w="57" w:type="dxa"/>
            <w:tcMar>
              <w:left w:w="0" w:type="dxa"/>
              <w:right w:w="0" w:type="dxa"/>
            </w:tcMar>
            <w:vAlign w:val="center"/>
          </w:tcPr>
          <w:p w:rsidR="00CE7158" w:rsidRPr="00C56F55" w:rsidRDefault="00CE7158" w:rsidP="002136C9">
            <w:pPr>
              <w:spacing w:after="0" w:line="240" w:lineRule="auto"/>
              <w:jc w:val="right"/>
              <w:rPr>
                <w:rFonts w:cstheme="minorHAnsi"/>
                <w:b/>
                <w:sz w:val="20"/>
                <w:szCs w:val="20"/>
              </w:rPr>
            </w:pPr>
          </w:p>
        </w:tc>
        <w:tc>
          <w:tcPr>
            <w:tcW w:w="1191" w:type="dxa"/>
            <w:vAlign w:val="center"/>
          </w:tcPr>
          <w:p w:rsidR="00CE7158" w:rsidRPr="00C56F55" w:rsidRDefault="00CE7158" w:rsidP="002136C9">
            <w:pPr>
              <w:spacing w:after="0" w:line="240" w:lineRule="auto"/>
              <w:jc w:val="right"/>
              <w:rPr>
                <w:rFonts w:cstheme="minorHAnsi"/>
                <w:b/>
                <w:sz w:val="20"/>
                <w:szCs w:val="20"/>
              </w:rPr>
            </w:pPr>
          </w:p>
        </w:tc>
        <w:tc>
          <w:tcPr>
            <w:tcW w:w="57" w:type="dxa"/>
            <w:tcMar>
              <w:left w:w="0" w:type="dxa"/>
              <w:right w:w="0" w:type="dxa"/>
            </w:tcMar>
            <w:vAlign w:val="center"/>
          </w:tcPr>
          <w:p w:rsidR="00CE7158" w:rsidRPr="00C56F55" w:rsidRDefault="00CE7158" w:rsidP="002136C9">
            <w:pPr>
              <w:spacing w:after="0" w:line="240" w:lineRule="auto"/>
              <w:jc w:val="right"/>
              <w:rPr>
                <w:rFonts w:cstheme="minorHAnsi"/>
                <w:b/>
                <w:sz w:val="20"/>
                <w:szCs w:val="20"/>
              </w:rPr>
            </w:pPr>
          </w:p>
        </w:tc>
        <w:tc>
          <w:tcPr>
            <w:tcW w:w="1191" w:type="dxa"/>
            <w:vAlign w:val="center"/>
          </w:tcPr>
          <w:p w:rsidR="00CE7158" w:rsidRPr="00C56F55" w:rsidRDefault="00CE7158" w:rsidP="002136C9">
            <w:pPr>
              <w:spacing w:after="0" w:line="240" w:lineRule="auto"/>
              <w:jc w:val="right"/>
              <w:rPr>
                <w:rFonts w:cstheme="minorHAnsi"/>
                <w:b/>
                <w:sz w:val="20"/>
                <w:szCs w:val="20"/>
              </w:rPr>
            </w:pPr>
          </w:p>
        </w:tc>
        <w:tc>
          <w:tcPr>
            <w:tcW w:w="57" w:type="dxa"/>
            <w:tcMar>
              <w:left w:w="0" w:type="dxa"/>
              <w:right w:w="0" w:type="dxa"/>
            </w:tcMar>
            <w:vAlign w:val="center"/>
          </w:tcPr>
          <w:p w:rsidR="00CE7158" w:rsidRPr="00C56F55" w:rsidRDefault="00CE7158" w:rsidP="002136C9">
            <w:pPr>
              <w:spacing w:after="0" w:line="240" w:lineRule="auto"/>
              <w:jc w:val="right"/>
              <w:rPr>
                <w:rFonts w:cstheme="minorHAnsi"/>
                <w:b/>
                <w:sz w:val="20"/>
                <w:szCs w:val="20"/>
              </w:rPr>
            </w:pPr>
          </w:p>
        </w:tc>
        <w:tc>
          <w:tcPr>
            <w:tcW w:w="1191" w:type="dxa"/>
            <w:tcBorders>
              <w:top w:val="single" w:sz="4" w:space="0" w:color="auto"/>
              <w:bottom w:val="single" w:sz="4" w:space="0" w:color="auto"/>
            </w:tcBorders>
            <w:vAlign w:val="center"/>
          </w:tcPr>
          <w:p w:rsidR="00CE7158" w:rsidRPr="00C56F55" w:rsidRDefault="00CE7158" w:rsidP="002136C9">
            <w:pPr>
              <w:spacing w:after="0" w:line="240" w:lineRule="auto"/>
              <w:jc w:val="right"/>
              <w:rPr>
                <w:rFonts w:cstheme="minorHAnsi"/>
                <w:b/>
                <w:sz w:val="20"/>
                <w:szCs w:val="20"/>
              </w:rPr>
            </w:pPr>
            <w:r w:rsidRPr="00C56F55">
              <w:rPr>
                <w:rFonts w:cstheme="minorHAnsi"/>
                <w:b/>
                <w:sz w:val="20"/>
                <w:szCs w:val="20"/>
              </w:rPr>
              <w:t>108.300</w:t>
            </w:r>
          </w:p>
        </w:tc>
      </w:tr>
    </w:tbl>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br w:type="page"/>
      </w:r>
    </w:p>
    <w:p w:rsidR="00CE7158" w:rsidRPr="00C56F55" w:rsidRDefault="00CE7158" w:rsidP="00CE7158">
      <w:pPr>
        <w:rPr>
          <w:b/>
          <w:sz w:val="26"/>
          <w:szCs w:val="26"/>
        </w:rPr>
      </w:pPr>
      <w:r w:rsidRPr="00C56F55">
        <w:rPr>
          <w:b/>
          <w:sz w:val="26"/>
          <w:szCs w:val="26"/>
        </w:rPr>
        <w:lastRenderedPageBreak/>
        <w:t xml:space="preserve">Bilag 2 (spørgsmål 4) – Forslag til revisionspåtegning </w:t>
      </w:r>
    </w:p>
    <w:p w:rsidR="00CE7158" w:rsidRPr="00C56F55" w:rsidRDefault="00CE7158" w:rsidP="00CE7158">
      <w:pPr>
        <w:spacing w:after="0"/>
        <w:rPr>
          <w:b/>
          <w:i/>
        </w:rPr>
      </w:pPr>
      <w:r w:rsidRPr="00C56F55">
        <w:rPr>
          <w:i/>
        </w:rPr>
        <w:t>Afvigelser i forhold til en ”blank” revisionspåtegning er markeret med blåt.</w:t>
      </w:r>
    </w:p>
    <w:p w:rsidR="00CE7158" w:rsidRPr="00C56F55" w:rsidRDefault="00CE7158" w:rsidP="00CE7158">
      <w:pPr>
        <w:spacing w:after="0"/>
        <w:rPr>
          <w:b/>
        </w:rPr>
      </w:pPr>
    </w:p>
    <w:p w:rsidR="00CE7158" w:rsidRPr="00C56F55" w:rsidRDefault="00CE7158" w:rsidP="00CE7158">
      <w:pPr>
        <w:autoSpaceDE w:val="0"/>
        <w:autoSpaceDN w:val="0"/>
        <w:adjustRightInd w:val="0"/>
        <w:spacing w:after="0"/>
        <w:rPr>
          <w:rFonts w:cstheme="minorHAnsi"/>
          <w:b/>
          <w:bCs/>
          <w:sz w:val="32"/>
          <w:szCs w:val="32"/>
        </w:rPr>
      </w:pPr>
      <w:r w:rsidRPr="00C56F55">
        <w:rPr>
          <w:rFonts w:cstheme="minorHAnsi"/>
          <w:b/>
          <w:bCs/>
          <w:sz w:val="32"/>
          <w:szCs w:val="32"/>
        </w:rPr>
        <w:t>DEN UAFHÆNGIGE REVISORS REVISIONSPÅTEGNING</w:t>
      </w:r>
    </w:p>
    <w:p w:rsidR="00CE7158" w:rsidRPr="00C56F55" w:rsidRDefault="00CE7158" w:rsidP="00CE7158">
      <w:pPr>
        <w:autoSpaceDE w:val="0"/>
        <w:autoSpaceDN w:val="0"/>
        <w:adjustRightInd w:val="0"/>
        <w:spacing w:after="0"/>
        <w:rPr>
          <w:rFonts w:cstheme="minorHAnsi"/>
          <w:sz w:val="20"/>
          <w:szCs w:val="20"/>
        </w:rPr>
      </w:pPr>
    </w:p>
    <w:p w:rsidR="00CE7158" w:rsidRPr="00C56F55" w:rsidRDefault="00CE7158" w:rsidP="00CE7158">
      <w:pPr>
        <w:autoSpaceDE w:val="0"/>
        <w:autoSpaceDN w:val="0"/>
        <w:adjustRightInd w:val="0"/>
        <w:spacing w:after="0"/>
        <w:rPr>
          <w:rFonts w:cstheme="minorHAnsi"/>
        </w:rPr>
      </w:pPr>
      <w:r w:rsidRPr="00C56F55">
        <w:rPr>
          <w:rFonts w:cstheme="minorHAnsi"/>
        </w:rPr>
        <w:t>Til kapitalejerne i Elkæden A/S</w:t>
      </w:r>
    </w:p>
    <w:p w:rsidR="00CE7158" w:rsidRPr="00C56F55" w:rsidRDefault="00CE7158" w:rsidP="00CE7158">
      <w:pPr>
        <w:autoSpaceDE w:val="0"/>
        <w:autoSpaceDN w:val="0"/>
        <w:adjustRightInd w:val="0"/>
        <w:spacing w:after="0"/>
        <w:rPr>
          <w:rFonts w:cstheme="minorHAnsi"/>
          <w:b/>
          <w:bCs/>
        </w:rPr>
      </w:pPr>
    </w:p>
    <w:p w:rsidR="00CE7158" w:rsidRPr="00C56F55" w:rsidRDefault="00CE7158" w:rsidP="00CE7158">
      <w:pPr>
        <w:autoSpaceDE w:val="0"/>
        <w:autoSpaceDN w:val="0"/>
        <w:adjustRightInd w:val="0"/>
        <w:spacing w:after="0"/>
        <w:rPr>
          <w:rFonts w:cstheme="minorHAnsi"/>
          <w:b/>
          <w:bCs/>
          <w:color w:val="0000FF"/>
          <w:sz w:val="26"/>
          <w:szCs w:val="26"/>
        </w:rPr>
      </w:pPr>
      <w:r w:rsidRPr="00C56F55">
        <w:rPr>
          <w:rFonts w:cstheme="minorHAnsi"/>
          <w:b/>
          <w:bCs/>
          <w:color w:val="0000FF"/>
          <w:sz w:val="26"/>
          <w:szCs w:val="26"/>
        </w:rPr>
        <w:t xml:space="preserve">Revisionspåtegning på koncernregnskabet og årsregnskabet </w:t>
      </w:r>
    </w:p>
    <w:p w:rsidR="00CE7158" w:rsidRPr="00C56F55" w:rsidRDefault="00CE7158" w:rsidP="00CE7158">
      <w:pPr>
        <w:autoSpaceDE w:val="0"/>
        <w:autoSpaceDN w:val="0"/>
        <w:adjustRightInd w:val="0"/>
        <w:spacing w:after="0"/>
        <w:rPr>
          <w:rFonts w:cstheme="minorHAnsi"/>
          <w:b/>
          <w:bCs/>
        </w:rPr>
      </w:pPr>
    </w:p>
    <w:p w:rsidR="00CE7158" w:rsidRPr="00C56F55" w:rsidRDefault="00CE7158" w:rsidP="00CE7158">
      <w:pPr>
        <w:autoSpaceDE w:val="0"/>
        <w:autoSpaceDN w:val="0"/>
        <w:adjustRightInd w:val="0"/>
        <w:spacing w:after="120"/>
        <w:rPr>
          <w:rFonts w:cstheme="minorHAnsi"/>
          <w:b/>
          <w:bCs/>
        </w:rPr>
      </w:pPr>
      <w:r w:rsidRPr="00C56F55">
        <w:rPr>
          <w:rFonts w:cstheme="minorHAnsi"/>
          <w:b/>
          <w:bCs/>
        </w:rPr>
        <w:t xml:space="preserve">Konklusion </w:t>
      </w:r>
      <w:r w:rsidRPr="00C56F55">
        <w:rPr>
          <w:rFonts w:cstheme="minorHAnsi"/>
          <w:b/>
          <w:bCs/>
          <w:color w:val="0000FF"/>
        </w:rPr>
        <w:t>med forbehold</w:t>
      </w:r>
    </w:p>
    <w:p w:rsidR="00CE7158" w:rsidRPr="00C56F55" w:rsidRDefault="00CE7158" w:rsidP="00CE7158">
      <w:pPr>
        <w:autoSpaceDE w:val="0"/>
        <w:autoSpaceDN w:val="0"/>
        <w:adjustRightInd w:val="0"/>
        <w:spacing w:after="0"/>
        <w:rPr>
          <w:rFonts w:cstheme="minorHAnsi"/>
        </w:rPr>
      </w:pPr>
      <w:r w:rsidRPr="00C56F55">
        <w:rPr>
          <w:rFonts w:cstheme="minorHAnsi"/>
        </w:rPr>
        <w:t>Vi har revideret koncernregnskabet og årsregnskabet for Elkæden A/S for regnskabsåret 1. januar - 31. december 2018, der omfatter resultatopgørelse, balance, egenkapitalopgørelse og noter, herunder anvendt regnskabspraksis, for såvel koncernen som selskabet, samt pengestrømsopgørelse for koncernen. Koncernregnskabet og årsregnskabet udarbejdes efter årsregnskabsloven.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 xml:space="preserve">Det er vores opfattelse, at koncernregnskabet og årsregnskabet </w:t>
      </w:r>
      <w:r w:rsidRPr="00C56F55">
        <w:rPr>
          <w:rFonts w:cstheme="minorHAnsi"/>
          <w:color w:val="0000FF"/>
        </w:rPr>
        <w:t>bortset fra indvirkningerne af det forhold, der er beskrevet i afsnittet "Grundlag for konklusion med forbehold",</w:t>
      </w:r>
      <w:r w:rsidRPr="00C56F55">
        <w:rPr>
          <w:rFonts w:cstheme="minorHAnsi"/>
        </w:rPr>
        <w:t xml:space="preserve"> giver et retvisende billede af koncernens og selskabets aktiver, passiver og finansielle stilling pr. 31. december 2018 samt af resultatet af koncernens og selskabets aktiviteter og koncernens pengestrømme for regnskabsåret 1. januar - 31. december 2018 i overensstemmelse med årsregnskabsloven.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before="120" w:after="120"/>
        <w:rPr>
          <w:rFonts w:cstheme="minorHAnsi"/>
          <w:b/>
          <w:bCs/>
        </w:rPr>
      </w:pPr>
      <w:r w:rsidRPr="00C56F55">
        <w:rPr>
          <w:rFonts w:cstheme="minorHAnsi"/>
          <w:b/>
          <w:bCs/>
        </w:rPr>
        <w:t xml:space="preserve">Grundlag for konklusion </w:t>
      </w:r>
      <w:r w:rsidRPr="00C56F55">
        <w:rPr>
          <w:rFonts w:cstheme="minorHAnsi"/>
          <w:b/>
          <w:bCs/>
          <w:color w:val="0000FF"/>
        </w:rPr>
        <w:t>med forbehold</w:t>
      </w:r>
    </w:p>
    <w:p w:rsidR="00CE7158" w:rsidRPr="00C56F55" w:rsidRDefault="00CE7158" w:rsidP="00CE7158">
      <w:pPr>
        <w:autoSpaceDE w:val="0"/>
        <w:autoSpaceDN w:val="0"/>
        <w:adjustRightInd w:val="0"/>
        <w:spacing w:after="0"/>
        <w:rPr>
          <w:rFonts w:cstheme="minorHAnsi"/>
          <w:color w:val="0000FF"/>
        </w:rPr>
      </w:pPr>
      <w:r w:rsidRPr="00C56F55">
        <w:rPr>
          <w:rFonts w:cstheme="minorHAnsi"/>
          <w:color w:val="0000FF"/>
        </w:rPr>
        <w:t>Ledelsen har ikke oplyst det gennemsnitlige antal beskæftigede i regnskabsåret i noterne, hvilket ikke er i overensstemmelse med årsregnskabsloven. Det gennemsnitlige antal beskæftigede i regnskabsåret 2018 udgør 37.</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 xml:space="preserve">Vi har udført vores revision i overensstemmelse med internationale standarder om revision og de yderligere krav, der er gældende i Danmark. Vores ansvar ifølge disse standarder og krav er nærmere beskrevet i revisionspåtegningens afsnit ”Revisors ansvar for revisionen af koncernregnskabet og årsregnskabet”. Vi er uafhængige af koncernen i overensstemmelse med internationale etiske regler for revisorer (IESBA’s Etiske regler) og de yderligere krav, der er gældende i Danmark, ligesom vi har opfyldt vores øvrige etiske forpligtelser i henhold til disse regler og krav. Det er vores opfattelse, at det opnåede revisionsbevis er tilstrækkeligt og egnet som grundlag for vores konklusion </w:t>
      </w:r>
      <w:r w:rsidRPr="00C56F55">
        <w:rPr>
          <w:rFonts w:cstheme="minorHAnsi"/>
          <w:color w:val="0000FF"/>
        </w:rPr>
        <w:t>med forbehold</w:t>
      </w:r>
      <w:r w:rsidRPr="00C56F55">
        <w:rPr>
          <w:rFonts w:cstheme="minorHAnsi"/>
        </w:rPr>
        <w:t>.</w:t>
      </w:r>
    </w:p>
    <w:p w:rsidR="00CE7158" w:rsidRPr="00C56F55" w:rsidRDefault="00CE7158" w:rsidP="00CE7158">
      <w:pPr>
        <w:autoSpaceDE w:val="0"/>
        <w:autoSpaceDN w:val="0"/>
        <w:adjustRightInd w:val="0"/>
        <w:spacing w:after="0"/>
        <w:rPr>
          <w:rFonts w:cstheme="minorHAnsi"/>
          <w:b/>
          <w:bCs/>
        </w:rPr>
      </w:pPr>
    </w:p>
    <w:p w:rsidR="00CE7158" w:rsidRPr="00C56F55" w:rsidRDefault="00CE7158" w:rsidP="00CE7158">
      <w:pPr>
        <w:autoSpaceDE w:val="0"/>
        <w:autoSpaceDN w:val="0"/>
        <w:adjustRightInd w:val="0"/>
        <w:spacing w:before="120" w:after="120"/>
        <w:rPr>
          <w:rFonts w:cstheme="minorHAnsi"/>
        </w:rPr>
      </w:pPr>
      <w:r w:rsidRPr="00C56F55">
        <w:rPr>
          <w:rFonts w:cstheme="minorHAnsi"/>
          <w:b/>
          <w:bCs/>
        </w:rPr>
        <w:t>Ledelsens ansvar for koncernregnskabet og årsregnskabet</w:t>
      </w:r>
    </w:p>
    <w:p w:rsidR="00CE7158" w:rsidRPr="00C56F55" w:rsidRDefault="00CE7158" w:rsidP="00CE7158">
      <w:pPr>
        <w:autoSpaceDE w:val="0"/>
        <w:autoSpaceDN w:val="0"/>
        <w:adjustRightInd w:val="0"/>
        <w:spacing w:after="0"/>
        <w:rPr>
          <w:rFonts w:cstheme="minorHAnsi"/>
        </w:rPr>
      </w:pPr>
      <w:r w:rsidRPr="00C56F55">
        <w:rPr>
          <w:rFonts w:cstheme="minorHAnsi"/>
        </w:rPr>
        <w:t>Ledelsen har ansvaret for udarbejdelsen af et koncernregnskab og et årsregnskab, der giver et retvisende billede i overensstemmelse med årsregnskabsloven. Ledelsen har endvidere ansvaret for den interne kontrol, som ledelsen anser for nødvendig for at udarbejde et koncernregnskab og et årsregnskab uden væsentlig fejlinformation, uanset om denne skyldes besvigelser eller fejl.</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lastRenderedPageBreak/>
        <w:t>Ved udarbejdelsen af koncernregnskabet og årsregnskabet er ledelsen ansvarlig for at vurdere koncernens og selskabets evne til at fortsætte driften; at oplyse om forhold vedrørende fortsat drift, hvor dette er relevant; samt at udarbejde koncernregnskabet og årsregnskabet på grundlag af regnskabsprincippet om fortsat drift, medmindre ledelsen enten har til hensigt at likvidere koncernen eller selskabet, indstille driften eller ikke har andet realistisk alternativ end at gøre dette.</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before="120" w:after="120"/>
        <w:rPr>
          <w:rFonts w:cstheme="minorHAnsi"/>
          <w:b/>
          <w:bCs/>
        </w:rPr>
      </w:pPr>
      <w:r w:rsidRPr="00C56F55">
        <w:rPr>
          <w:rFonts w:cstheme="minorHAnsi"/>
          <w:b/>
          <w:bCs/>
        </w:rPr>
        <w:t>Revisors ansvar for revisionen af koncernregnskabet og årsregnskabet</w:t>
      </w:r>
    </w:p>
    <w:p w:rsidR="00CE7158" w:rsidRPr="00C56F55" w:rsidRDefault="00CE7158" w:rsidP="00CE7158">
      <w:pPr>
        <w:autoSpaceDE w:val="0"/>
        <w:autoSpaceDN w:val="0"/>
        <w:adjustRightInd w:val="0"/>
        <w:spacing w:after="0"/>
        <w:rPr>
          <w:rFonts w:cstheme="minorHAnsi"/>
        </w:rPr>
      </w:pPr>
      <w:r w:rsidRPr="00C56F55">
        <w:rPr>
          <w:rFonts w:cstheme="minorHAnsi"/>
        </w:rPr>
        <w:t>Vores mål er at opnå høj grad af sikkerhed for, om koncernregnskabet og årsregnskabet som helhed er uden væsentlig fejlinformation, uanset om denne skyldes besvigelser eller fejl, og at afgive en revisions</w:t>
      </w:r>
      <w:r w:rsidRPr="00C56F55">
        <w:rPr>
          <w:rFonts w:cstheme="minorHAnsi"/>
        </w:rPr>
        <w:softHyphen/>
        <w:t>påtegning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koncernregnskabet og årsregnskabet.</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Som led i en revision, der udføres i overensstemmelse med internationale standarder om revision og de yderligere krav, der er gældende i Danmark, foretager vi faglige vurderinger og opretholder professionel skepsis under revisionen. Herudover:</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pStyle w:val="Listeafsnit"/>
        <w:numPr>
          <w:ilvl w:val="0"/>
          <w:numId w:val="7"/>
        </w:numPr>
        <w:autoSpaceDE w:val="0"/>
        <w:autoSpaceDN w:val="0"/>
        <w:adjustRightInd w:val="0"/>
        <w:spacing w:after="0"/>
        <w:rPr>
          <w:rFonts w:cstheme="minorHAnsi"/>
        </w:rPr>
      </w:pPr>
      <w:r w:rsidRPr="00C56F55">
        <w:rPr>
          <w:rFonts w:cstheme="minorHAnsi"/>
        </w:rPr>
        <w:t>Identificerer og vurderer vi risikoen for væsentlig fejlinformation i koncernregnskabet og årsregnskabet, uanset om denne skyldes besvigelser eller fejl, udformer og udfører revisions</w:t>
      </w:r>
      <w:r w:rsidRPr="00C56F55">
        <w:rPr>
          <w:rFonts w:cstheme="minorHAnsi"/>
        </w:rPr>
        <w:softHyphen/>
        <w:t>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pStyle w:val="Listeafsnit"/>
        <w:numPr>
          <w:ilvl w:val="0"/>
          <w:numId w:val="7"/>
        </w:numPr>
        <w:autoSpaceDE w:val="0"/>
        <w:autoSpaceDN w:val="0"/>
        <w:adjustRightInd w:val="0"/>
        <w:spacing w:after="0"/>
        <w:rPr>
          <w:rFonts w:cstheme="minorHAnsi"/>
        </w:rPr>
      </w:pPr>
      <w:r w:rsidRPr="00C56F55">
        <w:rPr>
          <w:rFonts w:cstheme="minorHAnsi"/>
        </w:rPr>
        <w:t>Opnår vi forståelse af den interne kontrol med relevans for revisionen for at kunne udforme revisionshandlinger, der er passende efter omstændighederne, men ikke for at kunne udtrykke en konklusion om effektiviteten af koncernens og selskabets interne kontrol.</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pStyle w:val="Listeafsnit"/>
        <w:numPr>
          <w:ilvl w:val="0"/>
          <w:numId w:val="7"/>
        </w:numPr>
        <w:autoSpaceDE w:val="0"/>
        <w:autoSpaceDN w:val="0"/>
        <w:adjustRightInd w:val="0"/>
        <w:spacing w:after="0"/>
        <w:rPr>
          <w:rFonts w:cstheme="minorHAnsi"/>
        </w:rPr>
      </w:pPr>
      <w:r w:rsidRPr="00C56F55">
        <w:rPr>
          <w:rFonts w:cstheme="minorHAnsi"/>
        </w:rPr>
        <w:t>Tager vi stilling til, om den regnskabspraksis, som er anvendt af ledelsen, er passende, samt om de regnskabsmæssige skøn og tilknyttede oplysninger, som ledelsen har udarbejdet, er rimelige.</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pStyle w:val="Listeafsnit"/>
        <w:numPr>
          <w:ilvl w:val="0"/>
          <w:numId w:val="7"/>
        </w:numPr>
        <w:autoSpaceDE w:val="0"/>
        <w:autoSpaceDN w:val="0"/>
        <w:adjustRightInd w:val="0"/>
        <w:spacing w:after="0"/>
        <w:rPr>
          <w:rFonts w:cstheme="minorHAnsi"/>
        </w:rPr>
      </w:pPr>
      <w:r w:rsidRPr="00C56F55">
        <w:rPr>
          <w:rFonts w:cstheme="minorHAnsi"/>
        </w:rPr>
        <w:t xml:space="preserve">Konkluderer vi, om ledelsens udarbejdelse af koncernregnskabet og årsregnskabet på grundlag af regnskabsprincippet om fortsat drift er passende, samt om der på grundlag af det opnåede revisionsbevis er væsentlig usikkerhed forbundet med begivenheder eller forhold, der kan skabe betydelig tvivl om koncernens og selskabets evne til at fortsætte driften. Hvis vi konkluderer, at der er en væsentlig usikkerhed, skal vi i vores revisionspåtegning gøre opmærksom på oplysninger herom i koncernregnskabet og årsregnskabet eller, hvis sådanne oplysninger ikke er tilstrækkelige, modificere vores konklusion. Vores konklusioner er baseret på det revisionsbevis, der er opnået </w:t>
      </w:r>
      <w:r w:rsidRPr="00C56F55">
        <w:rPr>
          <w:rFonts w:cstheme="minorHAnsi"/>
        </w:rPr>
        <w:lastRenderedPageBreak/>
        <w:t>frem til datoen for vores revisionspåtegning. Fremtidige begivenheder eller forhold kan dog medføre, at koncernen og selskabet ikke længere kan fortsætte driften.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pStyle w:val="Listeafsnit"/>
        <w:numPr>
          <w:ilvl w:val="0"/>
          <w:numId w:val="7"/>
        </w:numPr>
        <w:autoSpaceDE w:val="0"/>
        <w:autoSpaceDN w:val="0"/>
        <w:adjustRightInd w:val="0"/>
        <w:spacing w:after="0"/>
        <w:rPr>
          <w:rFonts w:cstheme="minorHAnsi"/>
        </w:rPr>
      </w:pPr>
      <w:r w:rsidRPr="00C56F55">
        <w:rPr>
          <w:rFonts w:cstheme="minorHAnsi"/>
        </w:rPr>
        <w:t>Tager vi stilling til den samlede præsentation, struktur og indhold af koncernregnskabet og årsregnskabet, herunder noteoplysningerne, samt om koncernregnskabet og årsregnskabet afspejler de underliggende transaktioner og begivenheder på en sådan måde, at der gives et retvisende billede heraf.</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pStyle w:val="Listeafsnit"/>
        <w:numPr>
          <w:ilvl w:val="0"/>
          <w:numId w:val="7"/>
        </w:numPr>
        <w:autoSpaceDE w:val="0"/>
        <w:autoSpaceDN w:val="0"/>
        <w:adjustRightInd w:val="0"/>
        <w:spacing w:after="0"/>
        <w:rPr>
          <w:rFonts w:cstheme="minorHAnsi"/>
        </w:rPr>
      </w:pPr>
      <w:r w:rsidRPr="00C56F55">
        <w:rPr>
          <w:rFonts w:cstheme="minorHAnsi"/>
        </w:rPr>
        <w:t>Opnår vi tilstrækkeligt og egnet revisionsbevis for de finansielle oplysninger for virksomhederne eller forretningsaktiviteterne i koncernen til brug for at udtrykke en konklusion om koncern</w:t>
      </w:r>
      <w:r w:rsidRPr="00C56F55">
        <w:rPr>
          <w:rFonts w:cstheme="minorHAnsi"/>
        </w:rPr>
        <w:softHyphen/>
        <w:t>regnskabet. Vi er ansvarlige for at lede, føre tilsyn med og udføre koncernrevisionen. Vi er eneansvarlige for vores revisionskonklusion.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Vi kommunikerer med den øverste ledelse om blandt andet det planlagte omfang og den tidsmæssige placering af revisionen samt betydelige revisionsmæssige observationer, herunder eventuelle betydelige mangler i intern kontrol, som vi identificerer under revisionen.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before="120" w:after="120"/>
        <w:rPr>
          <w:rFonts w:cstheme="minorHAnsi"/>
          <w:b/>
          <w:bCs/>
        </w:rPr>
      </w:pPr>
      <w:r w:rsidRPr="00C56F55">
        <w:rPr>
          <w:rFonts w:cstheme="minorHAnsi"/>
          <w:b/>
          <w:bCs/>
        </w:rPr>
        <w:t>Udtalelse om ledelsesberetningen</w:t>
      </w:r>
    </w:p>
    <w:p w:rsidR="00CE7158" w:rsidRPr="00C56F55" w:rsidRDefault="00CE7158" w:rsidP="00CE7158">
      <w:pPr>
        <w:autoSpaceDE w:val="0"/>
        <w:autoSpaceDN w:val="0"/>
        <w:adjustRightInd w:val="0"/>
        <w:spacing w:after="0"/>
        <w:rPr>
          <w:rFonts w:cstheme="minorHAnsi"/>
        </w:rPr>
      </w:pPr>
      <w:r w:rsidRPr="00C56F55">
        <w:rPr>
          <w:rFonts w:cstheme="minorHAnsi"/>
        </w:rPr>
        <w:t>Ledelsen er ansvarlig for ledelsesberetningen.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Vores konklusion om koncernregnskabet og årsregnskabet omfatter ikke ledelsesberetningen, og vi udtrykker ingen form for konklusion med sikkerhed om ledelsesberetningen.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I tilknytning til vores revision af koncernregnskabet og årsregnskabet er det vores ansvar at læse ledelsesberetningen og i den forbindelse overveje, om ledelsesberetningen er væsentligt inkonsistent med koncernregnskabet eller årsregnskabet eller vores viden opnået ved revisionen eller på anden måde synes at indeholde væsentlig fejlinformation.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Vores ansvar er derudover at overveje, om ledelsesberetningen indeholder krævede oplysninger i henhold til årsregnskabsloven.</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color w:val="0000FF"/>
        </w:rPr>
      </w:pPr>
      <w:r w:rsidRPr="00C56F55">
        <w:rPr>
          <w:rFonts w:cstheme="minorHAnsi"/>
          <w:i/>
          <w:color w:val="0000FF"/>
        </w:rPr>
        <w:t>Alternativ 1:</w:t>
      </w:r>
    </w:p>
    <w:p w:rsidR="00CE7158" w:rsidRPr="00C56F55" w:rsidRDefault="00CE7158" w:rsidP="00CE7158">
      <w:pPr>
        <w:autoSpaceDE w:val="0"/>
        <w:autoSpaceDN w:val="0"/>
        <w:adjustRightInd w:val="0"/>
        <w:spacing w:after="0"/>
        <w:rPr>
          <w:rFonts w:cstheme="minorHAnsi"/>
          <w:color w:val="0000FF"/>
        </w:rPr>
      </w:pPr>
    </w:p>
    <w:p w:rsidR="00CE7158" w:rsidRPr="00C56F55" w:rsidRDefault="00CE7158" w:rsidP="00CE7158">
      <w:pPr>
        <w:autoSpaceDE w:val="0"/>
        <w:autoSpaceDN w:val="0"/>
        <w:adjustRightInd w:val="0"/>
        <w:spacing w:after="0"/>
        <w:rPr>
          <w:rFonts w:cstheme="minorHAnsi"/>
          <w:color w:val="0000FF"/>
        </w:rPr>
      </w:pPr>
      <w:r w:rsidRPr="00C56F55">
        <w:rPr>
          <w:rFonts w:cstheme="minorHAnsi"/>
          <w:color w:val="0000FF"/>
        </w:rPr>
        <w:t>I forbindelse med vores gennemlæsning af ledelsesberetningen har vi konstateret, at ledelsesberetningen mangler en beskrivelse af årets resultat sammenholdt med den forventede udvikling ifølge den senest offentliggjorte årsrapport og en begrundelse for afvigelser i resultatet i forhold hertil, hvilket ikke er i overensstemmelse med årsregnskabslovens krav.</w:t>
      </w:r>
    </w:p>
    <w:p w:rsidR="00CE7158" w:rsidRPr="00C56F55" w:rsidRDefault="00CE7158" w:rsidP="00CE7158">
      <w:pPr>
        <w:autoSpaceDE w:val="0"/>
        <w:autoSpaceDN w:val="0"/>
        <w:adjustRightInd w:val="0"/>
        <w:spacing w:after="0"/>
        <w:rPr>
          <w:rFonts w:cstheme="minorHAnsi"/>
          <w:color w:val="0000FF"/>
        </w:rPr>
      </w:pPr>
    </w:p>
    <w:p w:rsidR="00CE7158" w:rsidRPr="00C56F55" w:rsidRDefault="00CE7158" w:rsidP="00CE7158">
      <w:pPr>
        <w:autoSpaceDE w:val="0"/>
        <w:autoSpaceDN w:val="0"/>
        <w:adjustRightInd w:val="0"/>
        <w:spacing w:after="0"/>
        <w:rPr>
          <w:rFonts w:cstheme="minorHAnsi"/>
          <w:color w:val="0000FF"/>
        </w:rPr>
      </w:pPr>
      <w:r w:rsidRPr="00C56F55">
        <w:rPr>
          <w:rFonts w:cstheme="minorHAnsi"/>
          <w:color w:val="0000FF"/>
        </w:rPr>
        <w:t>Bortset herfra og</w:t>
      </w:r>
      <w:r w:rsidRPr="00C56F55">
        <w:rPr>
          <w:rFonts w:cstheme="minorHAnsi"/>
        </w:rPr>
        <w:t xml:space="preserve"> baseret på det udførte arbejde er det vores opfattelse, at ledelsesberetningen er i overensstemmelse med koncernregnskabet og årsregnskabet og er udarbejdet i overensstemmelse med årsregnskabslovens krav. </w:t>
      </w:r>
      <w:r w:rsidRPr="00C56F55">
        <w:rPr>
          <w:rFonts w:cstheme="minorHAnsi"/>
          <w:strike/>
          <w:color w:val="0000FF"/>
        </w:rPr>
        <w:t>Vi har ikke fundet væsentlig fejlinformation i ledelsesberetningen.</w:t>
      </w:r>
    </w:p>
    <w:p w:rsidR="00CE7158" w:rsidRPr="00C56F55" w:rsidRDefault="00CE7158" w:rsidP="00CE7158">
      <w:pPr>
        <w:autoSpaceDE w:val="0"/>
        <w:autoSpaceDN w:val="0"/>
        <w:adjustRightInd w:val="0"/>
        <w:spacing w:after="0"/>
        <w:rPr>
          <w:rFonts w:cstheme="minorHAnsi"/>
          <w:color w:val="0000FF"/>
        </w:rPr>
      </w:pPr>
    </w:p>
    <w:p w:rsidR="00CE7158" w:rsidRPr="00C56F55" w:rsidRDefault="00CE7158" w:rsidP="00CE7158">
      <w:pPr>
        <w:autoSpaceDE w:val="0"/>
        <w:autoSpaceDN w:val="0"/>
        <w:adjustRightInd w:val="0"/>
        <w:spacing w:after="0"/>
        <w:rPr>
          <w:rFonts w:cstheme="minorHAnsi"/>
          <w:color w:val="0000FF"/>
        </w:rPr>
      </w:pPr>
      <w:r w:rsidRPr="00C56F55">
        <w:rPr>
          <w:rFonts w:cstheme="minorHAnsi"/>
          <w:i/>
          <w:color w:val="0000FF"/>
        </w:rPr>
        <w:lastRenderedPageBreak/>
        <w:t>Alternativ 2:</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 xml:space="preserve">Baseret på det udførte arbejde er det vores opfattelse, at ledelsesberetningen er i overensstemmelse med koncernregnskabet og årsregnskabet </w:t>
      </w:r>
      <w:r w:rsidRPr="00C56F55">
        <w:rPr>
          <w:rFonts w:cstheme="minorHAnsi"/>
          <w:strike/>
          <w:color w:val="0000FF"/>
        </w:rPr>
        <w:t>og er udarbejdet i overensstemmelse med årsregnskabslovens krav</w:t>
      </w:r>
      <w:r w:rsidRPr="00C56F55">
        <w:rPr>
          <w:rFonts w:cstheme="minorHAnsi"/>
        </w:rPr>
        <w:t xml:space="preserve">. Vi har ikke fundet væsentlig fejlinformation i ledelsesberetningen. </w:t>
      </w:r>
      <w:r w:rsidRPr="00C56F55">
        <w:rPr>
          <w:rFonts w:cstheme="minorHAnsi"/>
          <w:color w:val="0000FF"/>
        </w:rPr>
        <w:t>I forbindelse med gennemlæsningen har vi imidlertid konstateret, at ledelsesberetningen mangler en beskrivelse af årets resultat sammenholdt med den forventede udvikling ifølge den senest offentliggjorte årsrapport og en begrundelse for afvigelser i resultatet i forhold hertil, hvilket ikke er i overensstemmelse med årsregnskabslovens krav.</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before="120" w:after="0"/>
        <w:rPr>
          <w:rFonts w:cstheme="minorHAnsi"/>
          <w:b/>
          <w:bCs/>
          <w:color w:val="0000FF"/>
          <w:sz w:val="26"/>
          <w:szCs w:val="26"/>
        </w:rPr>
      </w:pPr>
      <w:r w:rsidRPr="00C56F55">
        <w:rPr>
          <w:rFonts w:cstheme="minorHAnsi"/>
          <w:b/>
          <w:bCs/>
          <w:color w:val="0000FF"/>
          <w:sz w:val="26"/>
          <w:szCs w:val="26"/>
        </w:rPr>
        <w:t xml:space="preserve">Erklæring i henhold til anden lovgivning og øvrig regulering </w:t>
      </w:r>
      <w:r w:rsidRPr="00C56F55">
        <w:rPr>
          <w:rFonts w:cstheme="minorHAnsi"/>
          <w:b/>
          <w:bCs/>
          <w:i/>
          <w:color w:val="0000FF"/>
          <w:sz w:val="26"/>
          <w:szCs w:val="26"/>
        </w:rPr>
        <w:t>[eller]</w:t>
      </w:r>
      <w:r w:rsidRPr="00C56F55">
        <w:rPr>
          <w:rFonts w:cstheme="minorHAnsi"/>
          <w:b/>
          <w:bCs/>
          <w:color w:val="0000FF"/>
          <w:sz w:val="26"/>
          <w:szCs w:val="26"/>
        </w:rPr>
        <w:t xml:space="preserve"> Rapporteringsforpligtelser i henhold til erklæringsbekendtgørelsen § 7, stk. 2</w:t>
      </w:r>
    </w:p>
    <w:p w:rsidR="00CE7158" w:rsidRPr="00C56F55" w:rsidRDefault="00CE7158" w:rsidP="00CE7158">
      <w:pPr>
        <w:autoSpaceDE w:val="0"/>
        <w:autoSpaceDN w:val="0"/>
        <w:adjustRightInd w:val="0"/>
        <w:spacing w:after="0"/>
        <w:rPr>
          <w:rFonts w:cstheme="minorHAnsi"/>
          <w:color w:val="0000FF"/>
        </w:rPr>
      </w:pPr>
    </w:p>
    <w:p w:rsidR="00CE7158" w:rsidRPr="00C56F55" w:rsidRDefault="00CE7158" w:rsidP="00CE7158">
      <w:pPr>
        <w:autoSpaceDE w:val="0"/>
        <w:autoSpaceDN w:val="0"/>
        <w:adjustRightInd w:val="0"/>
        <w:spacing w:after="120"/>
        <w:rPr>
          <w:rFonts w:cstheme="minorHAnsi"/>
          <w:b/>
          <w:color w:val="0000FF"/>
        </w:rPr>
      </w:pPr>
      <w:r w:rsidRPr="00C56F55">
        <w:rPr>
          <w:rFonts w:cstheme="minorHAnsi"/>
          <w:b/>
          <w:color w:val="0000FF"/>
        </w:rPr>
        <w:t xml:space="preserve">Overtrædelse af persondataforordningen </w:t>
      </w:r>
      <w:r w:rsidRPr="00C56F55">
        <w:rPr>
          <w:rFonts w:cstheme="minorHAnsi"/>
          <w:b/>
          <w:i/>
          <w:color w:val="0000FF"/>
        </w:rPr>
        <w:t>[eller databeskyttelsesforordningen]</w:t>
      </w:r>
    </w:p>
    <w:p w:rsidR="00CE7158" w:rsidRPr="00C56F55" w:rsidRDefault="00CE7158" w:rsidP="00CE7158">
      <w:pPr>
        <w:pStyle w:val="Default"/>
        <w:spacing w:line="276" w:lineRule="auto"/>
        <w:rPr>
          <w:rFonts w:asciiTheme="minorHAnsi" w:hAnsiTheme="minorHAnsi" w:cstheme="minorHAnsi"/>
          <w:color w:val="0000FF"/>
          <w:sz w:val="22"/>
          <w:szCs w:val="22"/>
          <w:lang w:val="da-DK"/>
        </w:rPr>
      </w:pPr>
      <w:r w:rsidRPr="00C56F55">
        <w:rPr>
          <w:rFonts w:asciiTheme="minorHAnsi" w:hAnsiTheme="minorHAnsi" w:cstheme="minorHAnsi"/>
          <w:color w:val="0000FF"/>
          <w:sz w:val="22"/>
          <w:szCs w:val="22"/>
          <w:lang w:val="da-DK"/>
        </w:rPr>
        <w:t xml:space="preserve">Selskabet har efter vores vurdering ikke overholdt persondataforordningens bestemmelser om håndtering af persondata. Ledelsen kan ifalde ansvar herfor. </w:t>
      </w:r>
    </w:p>
    <w:p w:rsidR="00CE7158" w:rsidRPr="00C56F55" w:rsidRDefault="00CE7158" w:rsidP="00CE7158">
      <w:pPr>
        <w:pStyle w:val="Default"/>
        <w:spacing w:line="276" w:lineRule="auto"/>
        <w:rPr>
          <w:rFonts w:asciiTheme="minorHAnsi" w:hAnsiTheme="minorHAnsi" w:cstheme="minorHAnsi"/>
          <w:color w:val="0000FF"/>
          <w:sz w:val="22"/>
          <w:szCs w:val="22"/>
          <w:lang w:val="da-DK"/>
        </w:rPr>
      </w:pPr>
    </w:p>
    <w:p w:rsidR="00CE7158" w:rsidRPr="00C56F55" w:rsidRDefault="00CE7158" w:rsidP="00CE7158">
      <w:pPr>
        <w:pStyle w:val="Default"/>
        <w:spacing w:line="276" w:lineRule="auto"/>
        <w:rPr>
          <w:rFonts w:asciiTheme="minorHAnsi" w:hAnsiTheme="minorHAnsi" w:cstheme="minorHAnsi"/>
          <w:b/>
          <w:color w:val="0000FF"/>
          <w:sz w:val="22"/>
          <w:szCs w:val="22"/>
          <w:lang w:val="da-DK"/>
        </w:rPr>
      </w:pPr>
      <w:r w:rsidRPr="00C56F55">
        <w:rPr>
          <w:rFonts w:asciiTheme="minorHAnsi" w:hAnsiTheme="minorHAnsi" w:cstheme="minorHAnsi"/>
          <w:b/>
          <w:color w:val="0000FF"/>
          <w:sz w:val="22"/>
          <w:szCs w:val="22"/>
          <w:lang w:val="da-DK"/>
        </w:rPr>
        <w:t>Overtrædelse af selskabslovens bestemmelser om registrering af reelle ejere</w:t>
      </w:r>
    </w:p>
    <w:p w:rsidR="00CE7158" w:rsidRPr="00C56F55" w:rsidRDefault="00CE7158" w:rsidP="00CE7158">
      <w:pPr>
        <w:pStyle w:val="Default"/>
        <w:spacing w:line="276" w:lineRule="auto"/>
        <w:rPr>
          <w:rFonts w:asciiTheme="minorHAnsi" w:hAnsiTheme="minorHAnsi" w:cstheme="minorHAnsi"/>
          <w:color w:val="0000FF"/>
          <w:sz w:val="22"/>
          <w:szCs w:val="22"/>
          <w:lang w:val="da-DK"/>
        </w:rPr>
      </w:pPr>
      <w:r w:rsidRPr="00C56F55">
        <w:rPr>
          <w:rFonts w:asciiTheme="minorHAnsi" w:hAnsiTheme="minorHAnsi" w:cstheme="minorHAnsi"/>
          <w:color w:val="0000FF"/>
          <w:sz w:val="22"/>
          <w:szCs w:val="22"/>
          <w:lang w:val="da-DK"/>
        </w:rPr>
        <w:t>Selskabet har ikke overholdt selskabslovens krav om registrering af reelle ejere i Erhvervsstyrelsens ejerregister. Ledelsen kan ifalde ansvar herfor.</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X-by, den        /        2019</w:t>
      </w:r>
    </w:p>
    <w:p w:rsidR="00CE7158" w:rsidRPr="00C56F55" w:rsidRDefault="00CE7158" w:rsidP="00CE7158">
      <w:pPr>
        <w:autoSpaceDE w:val="0"/>
        <w:autoSpaceDN w:val="0"/>
        <w:adjustRightInd w:val="0"/>
        <w:spacing w:after="0"/>
        <w:rPr>
          <w:rFonts w:cstheme="minorHAnsi"/>
        </w:rPr>
      </w:pPr>
      <w:r w:rsidRPr="00C56F55">
        <w:rPr>
          <w:rFonts w:cstheme="minorHAnsi"/>
        </w:rPr>
        <w:t>NN Statsautoriseret revisionsfirma</w:t>
      </w:r>
    </w:p>
    <w:p w:rsidR="00CE7158" w:rsidRPr="00C56F55" w:rsidRDefault="00CE7158" w:rsidP="00CE7158">
      <w:pPr>
        <w:autoSpaceDE w:val="0"/>
        <w:autoSpaceDN w:val="0"/>
        <w:adjustRightInd w:val="0"/>
        <w:spacing w:after="0"/>
        <w:rPr>
          <w:rFonts w:cstheme="minorHAnsi"/>
        </w:rPr>
      </w:pPr>
      <w:r w:rsidRPr="00C56F55">
        <w:rPr>
          <w:rFonts w:cstheme="minorHAnsi"/>
        </w:rPr>
        <w:t>CVR-nummer ## ## ## ##</w:t>
      </w: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p>
    <w:p w:rsidR="00CE7158" w:rsidRPr="00C56F55" w:rsidRDefault="00CE7158" w:rsidP="00CE7158">
      <w:pPr>
        <w:autoSpaceDE w:val="0"/>
        <w:autoSpaceDN w:val="0"/>
        <w:adjustRightInd w:val="0"/>
        <w:spacing w:after="0"/>
        <w:rPr>
          <w:rFonts w:cstheme="minorHAnsi"/>
        </w:rPr>
      </w:pPr>
      <w:r w:rsidRPr="00C56F55">
        <w:rPr>
          <w:rFonts w:cstheme="minorHAnsi"/>
        </w:rPr>
        <w:t>NN</w:t>
      </w:r>
    </w:p>
    <w:p w:rsidR="00CE7158" w:rsidRPr="00C56F55" w:rsidRDefault="00CE7158" w:rsidP="00CE7158">
      <w:pPr>
        <w:autoSpaceDE w:val="0"/>
        <w:autoSpaceDN w:val="0"/>
        <w:adjustRightInd w:val="0"/>
        <w:spacing w:after="0"/>
        <w:rPr>
          <w:rFonts w:cstheme="minorHAnsi"/>
        </w:rPr>
      </w:pPr>
      <w:r w:rsidRPr="00C56F55">
        <w:rPr>
          <w:rFonts w:cstheme="minorHAnsi"/>
        </w:rPr>
        <w:t>statsautoriseret revisor</w:t>
      </w:r>
    </w:p>
    <w:p w:rsidR="00CE7158" w:rsidRPr="00B07CC0" w:rsidRDefault="00CE7158" w:rsidP="00CE7158">
      <w:pPr>
        <w:autoSpaceDE w:val="0"/>
        <w:autoSpaceDN w:val="0"/>
        <w:adjustRightInd w:val="0"/>
        <w:spacing w:after="0"/>
        <w:rPr>
          <w:rFonts w:cstheme="minorHAnsi"/>
        </w:rPr>
      </w:pPr>
      <w:r w:rsidRPr="00C56F55">
        <w:rPr>
          <w:rFonts w:cstheme="minorHAnsi"/>
        </w:rPr>
        <w:t>mne#####</w:t>
      </w:r>
    </w:p>
    <w:p w:rsidR="000909E5" w:rsidRDefault="000909E5">
      <w:bookmarkStart w:id="0" w:name="_GoBack"/>
      <w:bookmarkEnd w:id="0"/>
    </w:p>
    <w:sectPr w:rsidR="000909E5" w:rsidSect="00B34B19">
      <w:footerReference w:type="default" r:id="rId1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5841"/>
      <w:docPartObj>
        <w:docPartGallery w:val="Page Numbers (Bottom of Page)"/>
        <w:docPartUnique/>
      </w:docPartObj>
    </w:sdtPr>
    <w:sdtEndPr/>
    <w:sdtContent>
      <w:p w:rsidR="00014CF8" w:rsidRDefault="00CE7158">
        <w:pPr>
          <w:pStyle w:val="Sidefod"/>
          <w:jc w:val="center"/>
        </w:pPr>
        <w:r>
          <w:fldChar w:fldCharType="begin"/>
        </w:r>
        <w:r>
          <w:instrText xml:space="preserve"> PAGE   \* MERGEFORMAT </w:instrText>
        </w:r>
        <w:r>
          <w:fldChar w:fldCharType="separate"/>
        </w:r>
        <w:r>
          <w:rPr>
            <w:noProof/>
          </w:rPr>
          <w:t>26</w:t>
        </w:r>
        <w:r>
          <w:rPr>
            <w:noProof/>
          </w:rPr>
          <w:fldChar w:fldCharType="end"/>
        </w:r>
      </w:p>
    </w:sdtContent>
  </w:sdt>
  <w:p w:rsidR="00014CF8" w:rsidRDefault="00CE71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5842"/>
      <w:docPartObj>
        <w:docPartGallery w:val="Page Numbers (Bottom of Page)"/>
        <w:docPartUnique/>
      </w:docPartObj>
    </w:sdtPr>
    <w:sdtEndPr/>
    <w:sdtContent>
      <w:p w:rsidR="00014CF8" w:rsidRDefault="00CE7158">
        <w:pPr>
          <w:pStyle w:val="Sidefod"/>
          <w:jc w:val="center"/>
        </w:pPr>
        <w:r>
          <w:fldChar w:fldCharType="begin"/>
        </w:r>
        <w:r>
          <w:instrText xml:space="preserve"> PAGE   \* MERGEFORMAT </w:instrText>
        </w:r>
        <w:r>
          <w:fldChar w:fldCharType="separate"/>
        </w:r>
        <w:r>
          <w:rPr>
            <w:noProof/>
          </w:rPr>
          <w:t>29</w:t>
        </w:r>
        <w:r>
          <w:rPr>
            <w:noProof/>
          </w:rPr>
          <w:fldChar w:fldCharType="end"/>
        </w:r>
      </w:p>
    </w:sdtContent>
  </w:sdt>
  <w:p w:rsidR="00014CF8" w:rsidRDefault="00CE7158">
    <w:pPr>
      <w:pStyle w:val="Sidefo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CF8" w:rsidRDefault="00CE7158">
    <w:pPr>
      <w:pStyle w:val="Sidehoved"/>
    </w:pPr>
    <w:r>
      <w:t xml:space="preserve">Kandidatnr: 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5808"/>
    <w:multiLevelType w:val="hybridMultilevel"/>
    <w:tmpl w:val="0534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B1211"/>
    <w:multiLevelType w:val="hybridMultilevel"/>
    <w:tmpl w:val="D2A21E6A"/>
    <w:lvl w:ilvl="0" w:tplc="7950984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84197"/>
    <w:multiLevelType w:val="hybridMultilevel"/>
    <w:tmpl w:val="0054D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C05E4"/>
    <w:multiLevelType w:val="hybridMultilevel"/>
    <w:tmpl w:val="773233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3169F"/>
    <w:multiLevelType w:val="hybridMultilevel"/>
    <w:tmpl w:val="951CD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84EEF"/>
    <w:multiLevelType w:val="hybridMultilevel"/>
    <w:tmpl w:val="9AB69DC0"/>
    <w:lvl w:ilvl="0" w:tplc="3C8C2F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F04DF"/>
    <w:multiLevelType w:val="hybridMultilevel"/>
    <w:tmpl w:val="683A0158"/>
    <w:lvl w:ilvl="0" w:tplc="BA667C4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E5659"/>
    <w:multiLevelType w:val="hybridMultilevel"/>
    <w:tmpl w:val="241C92D0"/>
    <w:lvl w:ilvl="0" w:tplc="AB9296A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CF05D8B"/>
    <w:multiLevelType w:val="hybridMultilevel"/>
    <w:tmpl w:val="DF3A51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2"/>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58"/>
    <w:rsid w:val="000909E5"/>
    <w:rsid w:val="00CE71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F69A4-0D48-4878-9AED-E1F236E4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158"/>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E7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E7158"/>
    <w:pPr>
      <w:ind w:left="720"/>
      <w:contextualSpacing/>
    </w:pPr>
  </w:style>
  <w:style w:type="paragraph" w:styleId="Sidehoved">
    <w:name w:val="header"/>
    <w:basedOn w:val="Normal"/>
    <w:link w:val="SidehovedTegn"/>
    <w:uiPriority w:val="99"/>
    <w:unhideWhenUsed/>
    <w:rsid w:val="00CE715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E7158"/>
  </w:style>
  <w:style w:type="paragraph" w:styleId="Sidefod">
    <w:name w:val="footer"/>
    <w:basedOn w:val="Normal"/>
    <w:link w:val="SidefodTegn"/>
    <w:uiPriority w:val="99"/>
    <w:unhideWhenUsed/>
    <w:rsid w:val="00CE715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E7158"/>
  </w:style>
  <w:style w:type="paragraph" w:customStyle="1" w:styleId="Default">
    <w:name w:val="Default"/>
    <w:rsid w:val="00CE7158"/>
    <w:pPr>
      <w:autoSpaceDE w:val="0"/>
      <w:autoSpaceDN w:val="0"/>
      <w:adjustRightInd w:val="0"/>
      <w:spacing w:after="0" w:line="240" w:lineRule="auto"/>
    </w:pPr>
    <w:rPr>
      <w:rFonts w:ascii="Verdana" w:hAnsi="Verdana" w:cs="Verdana"/>
      <w:color w:val="000000"/>
      <w:sz w:val="24"/>
      <w:szCs w:val="24"/>
      <w:lang w:val="en-US"/>
    </w:rPr>
  </w:style>
  <w:style w:type="character" w:customStyle="1" w:styleId="temph">
    <w:name w:val="temph"/>
    <w:basedOn w:val="Standardskrifttypeiafsnit"/>
    <w:rsid w:val="00CE7158"/>
  </w:style>
  <w:style w:type="character" w:styleId="Hyperlink">
    <w:name w:val="Hyperlink"/>
    <w:basedOn w:val="Standardskrifttypeiafsnit"/>
    <w:uiPriority w:val="99"/>
    <w:semiHidden/>
    <w:unhideWhenUsed/>
    <w:rsid w:val="00CE7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karnovgroup.dk/document/abs/IAS0016?src=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karnovgroup.dk/document/abs/IAS0016?src=document" TargetMode="External"/><Relationship Id="rId11" Type="http://schemas.openxmlformats.org/officeDocument/2006/relationships/fontTable" Target="fontTable.xml"/><Relationship Id="rId5" Type="http://schemas.openxmlformats.org/officeDocument/2006/relationships/hyperlink" Target="https://pro.karnovgroup.dk/document/abs/IAS0016?src=documen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7016</Words>
  <Characters>42799</Characters>
  <Application>Microsoft Office Word</Application>
  <DocSecurity>0</DocSecurity>
  <Lines>356</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Wolf</dc:creator>
  <cp:keywords/>
  <dc:description/>
  <cp:lastModifiedBy>Camilla Wolf</cp:lastModifiedBy>
  <cp:revision>1</cp:revision>
  <dcterms:created xsi:type="dcterms:W3CDTF">2018-08-08T06:18:00Z</dcterms:created>
  <dcterms:modified xsi:type="dcterms:W3CDTF">2018-08-08T06:18:00Z</dcterms:modified>
</cp:coreProperties>
</file>